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29BAF" w14:textId="379563F7" w:rsidR="00781BFA" w:rsidRDefault="00781BFA" w:rsidP="00781BFA">
      <w:pPr>
        <w:jc w:val="center"/>
        <w:rPr>
          <w:sz w:val="32"/>
          <w:szCs w:val="32"/>
          <w:lang w:val="en-US"/>
        </w:rPr>
      </w:pPr>
      <w:r w:rsidRPr="0045385C">
        <w:rPr>
          <w:sz w:val="32"/>
          <w:szCs w:val="32"/>
          <w:lang w:val="en-US"/>
        </w:rPr>
        <w:t>Application of RPA for Cross-border Business Processes based on the Example of Intra-Community Supplies</w:t>
      </w:r>
    </w:p>
    <w:p w14:paraId="258F0EBB" w14:textId="77777777" w:rsidR="00C57992" w:rsidRDefault="002E32AF" w:rsidP="006877D8">
      <w:pPr>
        <w:rPr>
          <w:lang w:val="en-US"/>
        </w:rPr>
      </w:pPr>
      <w:r w:rsidRPr="002479B4">
        <w:rPr>
          <w:lang w:val="en-US"/>
        </w:rPr>
        <w:t>Dominic Alexander Neu (</w:t>
      </w:r>
      <w:r w:rsidRPr="002479B4">
        <w:rPr>
          <w:color w:val="000000"/>
          <w:sz w:val="24"/>
          <w:szCs w:val="24"/>
          <w:lang w:val="en-US"/>
        </w:rPr>
        <w:t>corresponding author</w:t>
      </w:r>
      <w:r w:rsidRPr="002479B4">
        <w:rPr>
          <w:lang w:val="en-US"/>
        </w:rPr>
        <w:t>)</w:t>
      </w:r>
      <w:r w:rsidR="00557CF8">
        <w:rPr>
          <w:vertAlign w:val="superscript"/>
          <w:lang w:val="en-US"/>
        </w:rPr>
        <w:t>1,2</w:t>
      </w:r>
      <w:r w:rsidR="0077635E">
        <w:rPr>
          <w:vertAlign w:val="superscript"/>
          <w:lang w:val="en-US"/>
        </w:rPr>
        <w:br/>
      </w:r>
      <w:hyperlink r:id="rId11" w:history="1">
        <w:r w:rsidR="0077635E" w:rsidRPr="00254E7D">
          <w:rPr>
            <w:rStyle w:val="Hyperlink"/>
            <w:lang w:val="en-US"/>
          </w:rPr>
          <w:t>dominic.neu@dfki.de</w:t>
        </w:r>
      </w:hyperlink>
      <w:r w:rsidR="0077635E">
        <w:rPr>
          <w:lang w:val="en-US"/>
        </w:rPr>
        <w:t xml:space="preserve"> </w:t>
      </w:r>
    </w:p>
    <w:p w14:paraId="34527954" w14:textId="3FA2C2C7" w:rsidR="00C57992" w:rsidRPr="00C57992" w:rsidRDefault="00C57992" w:rsidP="006877D8">
      <w:r w:rsidRPr="00C57992">
        <w:t>Alessandro Benke</w:t>
      </w:r>
      <w:r w:rsidR="00A1205F" w:rsidRPr="00A1205F">
        <w:rPr>
          <w:vertAlign w:val="superscript"/>
        </w:rPr>
        <w:t>1,2</w:t>
      </w:r>
      <w:r w:rsidRPr="00C57992">
        <w:br/>
      </w:r>
      <w:hyperlink r:id="rId12" w:history="1">
        <w:r w:rsidR="00DA4E0B" w:rsidRPr="00254E7D">
          <w:rPr>
            <w:rStyle w:val="Hyperlink"/>
          </w:rPr>
          <w:t>alessandro.benke@dfki.de</w:t>
        </w:r>
      </w:hyperlink>
    </w:p>
    <w:p w14:paraId="3A7D523F" w14:textId="7AB5C679" w:rsidR="00C941F2" w:rsidRDefault="00C941F2" w:rsidP="006877D8">
      <w:pPr>
        <w:rPr>
          <w:lang w:val="en-GB"/>
        </w:rPr>
      </w:pPr>
      <w:r w:rsidRPr="00C941F2">
        <w:rPr>
          <w:lang w:val="en-GB"/>
        </w:rPr>
        <w:t>Robert Müller</w:t>
      </w:r>
      <w:r w:rsidR="00A1205F">
        <w:rPr>
          <w:vertAlign w:val="superscript"/>
          <w:lang w:val="en-US"/>
        </w:rPr>
        <w:t>1,2</w:t>
      </w:r>
      <w:r w:rsidRPr="00C941F2">
        <w:rPr>
          <w:lang w:val="en-GB"/>
        </w:rPr>
        <w:br/>
      </w:r>
      <w:hyperlink r:id="rId13" w:history="1">
        <w:r w:rsidRPr="00254E7D">
          <w:rPr>
            <w:rStyle w:val="Hyperlink"/>
            <w:lang w:val="en-GB"/>
          </w:rPr>
          <w:t>robert.mueller@dfki.de</w:t>
        </w:r>
      </w:hyperlink>
    </w:p>
    <w:p w14:paraId="5E05E7D7" w14:textId="4C85F6EE" w:rsidR="00C941F2" w:rsidRPr="00C353C5" w:rsidRDefault="00C941F2" w:rsidP="006877D8">
      <w:pPr>
        <w:rPr>
          <w:lang w:val="en-GB"/>
        </w:rPr>
      </w:pPr>
      <w:r w:rsidRPr="00C353C5">
        <w:rPr>
          <w:lang w:val="en-GB"/>
        </w:rPr>
        <w:t>Peter Fettke</w:t>
      </w:r>
      <w:r w:rsidR="00A1205F">
        <w:rPr>
          <w:vertAlign w:val="superscript"/>
          <w:lang w:val="en-US"/>
        </w:rPr>
        <w:t>1,2</w:t>
      </w:r>
      <w:r w:rsidRPr="00C353C5">
        <w:rPr>
          <w:lang w:val="en-GB"/>
        </w:rPr>
        <w:br/>
      </w:r>
      <w:hyperlink r:id="rId14" w:history="1">
        <w:r w:rsidRPr="00C353C5">
          <w:rPr>
            <w:rStyle w:val="Hyperlink"/>
            <w:lang w:val="en-GB"/>
          </w:rPr>
          <w:t>peter.fettke@dfki.de</w:t>
        </w:r>
      </w:hyperlink>
    </w:p>
    <w:p w14:paraId="580AEE96" w14:textId="3BB1B04B" w:rsidR="006877D8" w:rsidRPr="00C941F2" w:rsidRDefault="00557CF8" w:rsidP="006877D8">
      <w:pPr>
        <w:rPr>
          <w:lang w:val="en-GB"/>
        </w:rPr>
      </w:pPr>
      <w:r w:rsidRPr="00C941F2">
        <w:rPr>
          <w:vertAlign w:val="superscript"/>
          <w:lang w:val="en-GB"/>
        </w:rPr>
        <w:t>1</w:t>
      </w:r>
      <w:r w:rsidR="002479B4" w:rsidRPr="00C941F2">
        <w:rPr>
          <w:lang w:val="en-GB"/>
        </w:rPr>
        <w:t>Institute for Information Systems, German Research Center for Artificial Intelligence (DFKI),</w:t>
      </w:r>
      <w:r w:rsidR="002E3774" w:rsidRPr="00C941F2">
        <w:rPr>
          <w:lang w:val="en-GB"/>
        </w:rPr>
        <w:t xml:space="preserve"> </w:t>
      </w:r>
      <w:r w:rsidR="002E3774" w:rsidRPr="00C941F2">
        <w:rPr>
          <w:lang w:val="en-GB"/>
        </w:rPr>
        <w:t>Saarland Informatics Campus</w:t>
      </w:r>
      <w:r w:rsidR="002E3774" w:rsidRPr="00C941F2">
        <w:rPr>
          <w:lang w:val="en-GB"/>
        </w:rPr>
        <w:t>,</w:t>
      </w:r>
      <w:r w:rsidR="002479B4" w:rsidRPr="00C941F2">
        <w:rPr>
          <w:lang w:val="en-GB"/>
        </w:rPr>
        <w:t xml:space="preserve"> Saarbruecken, Germany</w:t>
      </w:r>
      <w:r w:rsidR="0053299E" w:rsidRPr="00C941F2">
        <w:rPr>
          <w:lang w:val="en-GB"/>
        </w:rPr>
        <w:br/>
      </w:r>
      <w:r w:rsidRPr="00C941F2">
        <w:rPr>
          <w:vertAlign w:val="superscript"/>
          <w:lang w:val="en-GB"/>
        </w:rPr>
        <w:t>2</w:t>
      </w:r>
      <w:r w:rsidR="0053299E" w:rsidRPr="00C941F2">
        <w:rPr>
          <w:lang w:val="en-GB"/>
        </w:rPr>
        <w:t>Institute for Information Systems, Saarland University, Saarbruecken, Germany</w:t>
      </w:r>
    </w:p>
    <w:p w14:paraId="25117EDA" w14:textId="77777777" w:rsidR="001A727D" w:rsidRDefault="001A727D" w:rsidP="001A727D">
      <w:pPr>
        <w:pStyle w:val="berschrift1"/>
        <w:keepLines/>
        <w:spacing w:before="240" w:after="0"/>
        <w:rPr>
          <w:rFonts w:cs="Times New Roman"/>
          <w:lang w:val="en-GB"/>
        </w:rPr>
      </w:pPr>
      <w:r>
        <w:rPr>
          <w:rFonts w:cs="Times New Roman"/>
          <w:lang w:val="en-GB"/>
        </w:rPr>
        <w:t>Abstract</w:t>
      </w:r>
    </w:p>
    <w:p w14:paraId="2B3C2BDE" w14:textId="77777777" w:rsidR="001A727D" w:rsidRDefault="001A727D" w:rsidP="001A727D">
      <w:pPr>
        <w:rPr>
          <w:lang w:val="en-GB"/>
        </w:rPr>
      </w:pPr>
      <w:r>
        <w:rPr>
          <w:lang w:val="en-GB"/>
        </w:rPr>
        <w:t xml:space="preserve">Cross-border business process usually require significant amounts of paperwork. This contribution shows how several software robots can be synchronized in order to automate complex business processes. A novel approach of concurrent legal assessment capable of significantly reducing processing times is presented which is only possible by employing software robots for legal assessment.  It is demonstrated how the </w:t>
      </w:r>
      <w:r w:rsidRPr="00276D71">
        <w:rPr>
          <w:smallCaps/>
          <w:lang w:val="en-GB"/>
        </w:rPr>
        <w:t>Heraklit</w:t>
      </w:r>
      <w:r>
        <w:rPr>
          <w:lang w:val="en-GB"/>
        </w:rPr>
        <w:t xml:space="preserve"> modelling language can be employed to design information architectures and information flows within and between multiple bots.</w:t>
      </w:r>
    </w:p>
    <w:p w14:paraId="6E3C9448" w14:textId="33B198CC" w:rsidR="001A727D" w:rsidRPr="001A727D" w:rsidRDefault="001A727D" w:rsidP="001A727D">
      <w:pPr>
        <w:rPr>
          <w:lang w:val="en-GB"/>
        </w:rPr>
      </w:pPr>
      <w:r>
        <w:rPr>
          <w:lang w:val="en-GB"/>
        </w:rPr>
        <w:t xml:space="preserve">Keywords: RPA, intra-Community Supplies, Tax Process Automation, </w:t>
      </w:r>
      <w:r w:rsidRPr="00EB7514">
        <w:rPr>
          <w:smallCaps/>
          <w:lang w:val="en-GB"/>
        </w:rPr>
        <w:t>Heraklit</w:t>
      </w:r>
      <w:r>
        <w:rPr>
          <w:lang w:val="en-GB"/>
        </w:rPr>
        <w:t xml:space="preserve"> modelling</w:t>
      </w:r>
    </w:p>
    <w:p w14:paraId="15DB41D3" w14:textId="2EC59D9E" w:rsidR="00781BFA" w:rsidRPr="0002155D" w:rsidRDefault="00781BFA" w:rsidP="00781BFA">
      <w:pPr>
        <w:pStyle w:val="berschrift1"/>
        <w:keepLines/>
        <w:numPr>
          <w:ilvl w:val="0"/>
          <w:numId w:val="28"/>
        </w:numPr>
        <w:spacing w:before="240" w:after="0"/>
        <w:rPr>
          <w:rFonts w:cs="Times New Roman"/>
          <w:lang w:val="en-GB"/>
        </w:rPr>
      </w:pPr>
      <w:r w:rsidRPr="0002155D">
        <w:rPr>
          <w:lang w:val="en-GB"/>
        </w:rPr>
        <w:t>Introduction</w:t>
      </w:r>
    </w:p>
    <w:p w14:paraId="1778E670" w14:textId="45A88478" w:rsidR="00781BFA" w:rsidRPr="0002155D" w:rsidRDefault="00781BFA" w:rsidP="00781BFA">
      <w:pPr>
        <w:rPr>
          <w:rFonts w:asciiTheme="minorHAnsi" w:hAnsiTheme="minorHAnsi" w:cs="Times New Roman"/>
          <w:lang w:val="en-GB"/>
        </w:rPr>
      </w:pPr>
      <w:r w:rsidRPr="0002155D">
        <w:rPr>
          <w:rFonts w:cs="Times New Roman"/>
          <w:lang w:val="en-GB"/>
        </w:rPr>
        <w:t xml:space="preserve">The complexity of performing business </w:t>
      </w:r>
      <w:r w:rsidR="00237352">
        <w:rPr>
          <w:rFonts w:cs="Times New Roman"/>
          <w:lang w:val="en-GB"/>
        </w:rPr>
        <w:t xml:space="preserve">grows </w:t>
      </w:r>
      <w:r w:rsidRPr="0002155D">
        <w:rPr>
          <w:rFonts w:cs="Times New Roman"/>
          <w:lang w:val="en-GB"/>
        </w:rPr>
        <w:t xml:space="preserve">continuously. </w:t>
      </w:r>
      <w:r>
        <w:rPr>
          <w:rFonts w:cs="Times New Roman"/>
          <w:lang w:val="en-GB"/>
        </w:rPr>
        <w:t>An increase in compliance partly causes this</w:t>
      </w:r>
      <w:r w:rsidRPr="0002155D">
        <w:rPr>
          <w:rFonts w:cs="Times New Roman"/>
          <w:lang w:val="en-GB"/>
        </w:rPr>
        <w:t xml:space="preserve">. Under normal </w:t>
      </w:r>
      <w:r w:rsidRPr="00E27CBA">
        <w:rPr>
          <w:rFonts w:cs="Times New Roman"/>
          <w:lang w:val="en-GB"/>
        </w:rPr>
        <w:t>circumstances</w:t>
      </w:r>
      <w:r w:rsidRPr="0002155D">
        <w:rPr>
          <w:rFonts w:cs="Times New Roman"/>
          <w:lang w:val="en-GB"/>
        </w:rPr>
        <w:t>, tax compliance is a very labour-intensive and time-consuming aspect</w:t>
      </w:r>
      <w:r>
        <w:rPr>
          <w:rFonts w:cs="Times New Roman"/>
          <w:lang w:val="en-GB"/>
        </w:rPr>
        <w:t>,</w:t>
      </w:r>
      <w:r w:rsidRPr="0002155D">
        <w:rPr>
          <w:rFonts w:cs="Times New Roman"/>
          <w:lang w:val="en-GB"/>
        </w:rPr>
        <w:t xml:space="preserve"> </w:t>
      </w:r>
      <w:r>
        <w:rPr>
          <w:rFonts w:cs="Times New Roman"/>
          <w:lang w:val="en-GB"/>
        </w:rPr>
        <w:t xml:space="preserve">contrary </w:t>
      </w:r>
      <w:r w:rsidRPr="0002155D">
        <w:rPr>
          <w:rFonts w:cs="Times New Roman"/>
          <w:lang w:val="en-GB"/>
        </w:rPr>
        <w:t xml:space="preserve">to other </w:t>
      </w:r>
      <w:r w:rsidRPr="0002155D">
        <w:rPr>
          <w:rFonts w:cs="Times New Roman"/>
          <w:lang w:val="en-GB"/>
        </w:rPr>
        <w:lastRenderedPageBreak/>
        <w:t>business activities. This applies in particular to the area of value</w:t>
      </w:r>
      <w:r>
        <w:rPr>
          <w:rFonts w:cs="Times New Roman"/>
          <w:lang w:val="en-GB"/>
        </w:rPr>
        <w:t>-</w:t>
      </w:r>
      <w:r w:rsidRPr="0002155D">
        <w:rPr>
          <w:rFonts w:cs="Times New Roman"/>
          <w:lang w:val="en-GB"/>
        </w:rPr>
        <w:t>added tax (VAT) compliance. In the EU, transactions between entrepreneurs are often carried out across borders, so</w:t>
      </w:r>
      <w:r>
        <w:rPr>
          <w:rFonts w:cs="Times New Roman"/>
          <w:lang w:val="en-GB"/>
        </w:rPr>
        <w:t>-</w:t>
      </w:r>
      <w:r w:rsidRPr="0002155D">
        <w:rPr>
          <w:rFonts w:cs="Times New Roman"/>
          <w:lang w:val="en-GB"/>
        </w:rPr>
        <w:t>called intra-community supply. Fraudulent entrepreneurs commit VAT evasion amounting to 60 billion euros every year by incorrectly claiming input VAT reimbursements.</w:t>
      </w:r>
      <w:sdt>
        <w:sdtPr>
          <w:rPr>
            <w:rFonts w:cs="Times New Roman"/>
            <w:lang w:val="en-GB"/>
          </w:rPr>
          <w:id w:val="614024310"/>
          <w:citation/>
        </w:sdtPr>
        <w:sdtEndPr/>
        <w:sdtContent>
          <w:r w:rsidRPr="0002155D">
            <w:rPr>
              <w:rFonts w:cs="Times New Roman"/>
              <w:lang w:val="en-GB"/>
            </w:rPr>
            <w:fldChar w:fldCharType="begin"/>
          </w:r>
          <w:r w:rsidRPr="0002155D">
            <w:rPr>
              <w:rFonts w:cs="Times New Roman"/>
              <w:lang w:val="en-GB"/>
            </w:rPr>
            <w:instrText xml:space="preserve"> CITATION Ism19 \l 1031 </w:instrText>
          </w:r>
          <w:r w:rsidRPr="0002155D">
            <w:rPr>
              <w:rFonts w:cs="Times New Roman"/>
              <w:lang w:val="en-GB"/>
            </w:rPr>
            <w:fldChar w:fldCharType="separate"/>
          </w:r>
          <w:r w:rsidRPr="0002155D">
            <w:rPr>
              <w:rFonts w:cs="Times New Roman"/>
              <w:noProof/>
              <w:lang w:val="en-GB"/>
            </w:rPr>
            <w:t xml:space="preserve"> (Ismer &amp; Schwarz, 2019)</w:t>
          </w:r>
          <w:r w:rsidRPr="0002155D">
            <w:rPr>
              <w:rFonts w:cs="Times New Roman"/>
              <w:lang w:val="en-GB"/>
            </w:rPr>
            <w:fldChar w:fldCharType="end"/>
          </w:r>
        </w:sdtContent>
      </w:sdt>
      <w:r w:rsidRPr="0002155D">
        <w:rPr>
          <w:rFonts w:cs="Times New Roman"/>
          <w:lang w:val="en-GB"/>
        </w:rPr>
        <w:t xml:space="preserve"> This </w:t>
      </w:r>
      <w:r>
        <w:rPr>
          <w:rFonts w:cs="Times New Roman"/>
          <w:lang w:val="en-GB"/>
        </w:rPr>
        <w:t>f</w:t>
      </w:r>
      <w:r w:rsidRPr="0002155D">
        <w:rPr>
          <w:rFonts w:cs="Times New Roman"/>
          <w:lang w:val="en-GB"/>
        </w:rPr>
        <w:t xml:space="preserve">raudulent </w:t>
      </w:r>
      <w:r>
        <w:rPr>
          <w:rFonts w:cs="Times New Roman"/>
          <w:lang w:val="en-GB"/>
        </w:rPr>
        <w:t xml:space="preserve">behaviour </w:t>
      </w:r>
      <w:r w:rsidRPr="0002155D">
        <w:rPr>
          <w:rFonts w:cs="Times New Roman"/>
          <w:lang w:val="en-GB"/>
        </w:rPr>
        <w:t>has led to extensive compliance regulations in this area, which are complex and highly penalised if disregarded.</w:t>
      </w:r>
      <w:sdt>
        <w:sdtPr>
          <w:rPr>
            <w:rFonts w:cs="Times New Roman"/>
            <w:lang w:val="en-GB"/>
          </w:rPr>
          <w:id w:val="923069273"/>
          <w:citation/>
        </w:sdtPr>
        <w:sdtEndPr/>
        <w:sdtContent>
          <w:r w:rsidRPr="0002155D">
            <w:rPr>
              <w:rFonts w:cs="Times New Roman"/>
              <w:lang w:val="en-GB"/>
            </w:rPr>
            <w:fldChar w:fldCharType="begin"/>
          </w:r>
          <w:r w:rsidRPr="0002155D">
            <w:rPr>
              <w:rFonts w:cs="Times New Roman"/>
              <w:lang w:val="en-GB"/>
            </w:rPr>
            <w:instrText xml:space="preserve"> CITATION EUc \l 1031 </w:instrText>
          </w:r>
          <w:r w:rsidRPr="0002155D">
            <w:rPr>
              <w:rFonts w:cs="Times New Roman"/>
              <w:lang w:val="en-GB"/>
            </w:rPr>
            <w:fldChar w:fldCharType="separate"/>
          </w:r>
          <w:r w:rsidRPr="0002155D">
            <w:rPr>
              <w:rFonts w:cs="Times New Roman"/>
              <w:noProof/>
              <w:lang w:val="en-GB"/>
            </w:rPr>
            <w:t xml:space="preserve"> (EU-commission, 2017)</w:t>
          </w:r>
          <w:r w:rsidRPr="0002155D">
            <w:rPr>
              <w:rFonts w:cs="Times New Roman"/>
              <w:lang w:val="en-GB"/>
            </w:rPr>
            <w:fldChar w:fldCharType="end"/>
          </w:r>
        </w:sdtContent>
      </w:sdt>
      <w:r w:rsidRPr="0002155D">
        <w:rPr>
          <w:rFonts w:cs="Times New Roman"/>
          <w:lang w:val="en-GB"/>
        </w:rPr>
        <w:t xml:space="preserve"> </w:t>
      </w:r>
    </w:p>
    <w:p w14:paraId="142D25AA" w14:textId="6593C16E" w:rsidR="00781BFA" w:rsidRPr="00F32F95" w:rsidRDefault="00781BFA" w:rsidP="00781BFA">
      <w:pPr>
        <w:rPr>
          <w:rFonts w:asciiTheme="minorHAnsi" w:hAnsiTheme="minorHAnsi" w:cs="Times New Roman"/>
          <w:lang w:val="en-GB"/>
        </w:rPr>
      </w:pPr>
      <w:r w:rsidRPr="0002155D">
        <w:rPr>
          <w:rFonts w:cs="Times New Roman"/>
          <w:lang w:val="en-GB"/>
        </w:rPr>
        <w:t>To ensure VAT compliance, mass data is processed. Therefore, automation technologies such as Robotic Process Automation (RPA) and Artificial Intelligence (AI) are interesting tools for standardi</w:t>
      </w:r>
      <w:r>
        <w:rPr>
          <w:rFonts w:cs="Times New Roman"/>
          <w:lang w:val="en-GB"/>
        </w:rPr>
        <w:t>s</w:t>
      </w:r>
      <w:r w:rsidRPr="0002155D">
        <w:rPr>
          <w:rFonts w:cs="Times New Roman"/>
          <w:lang w:val="en-GB"/>
        </w:rPr>
        <w:t>ation.</w:t>
      </w:r>
      <w:sdt>
        <w:sdtPr>
          <w:rPr>
            <w:rFonts w:cs="Times New Roman"/>
            <w:lang w:val="en-GB"/>
          </w:rPr>
          <w:id w:val="324488813"/>
          <w:citation/>
        </w:sdtPr>
        <w:sdtEndPr/>
        <w:sdtContent>
          <w:r w:rsidRPr="0002155D">
            <w:rPr>
              <w:rFonts w:cs="Times New Roman"/>
              <w:lang w:val="en-GB"/>
            </w:rPr>
            <w:fldChar w:fldCharType="begin"/>
          </w:r>
          <w:r w:rsidRPr="0002155D">
            <w:rPr>
              <w:rFonts w:cs="Times New Roman"/>
              <w:lang w:val="en-GB"/>
            </w:rPr>
            <w:instrText xml:space="preserve"> CITATION Fet18 \l 1031 </w:instrText>
          </w:r>
          <w:r w:rsidRPr="0002155D">
            <w:rPr>
              <w:rFonts w:cs="Times New Roman"/>
              <w:lang w:val="en-GB"/>
            </w:rPr>
            <w:fldChar w:fldCharType="separate"/>
          </w:r>
          <w:r w:rsidRPr="0002155D">
            <w:rPr>
              <w:rFonts w:cs="Times New Roman"/>
              <w:noProof/>
              <w:lang w:val="en-GB"/>
            </w:rPr>
            <w:t xml:space="preserve"> (Fettke &amp; Risse, 2018)</w:t>
          </w:r>
          <w:r w:rsidRPr="0002155D">
            <w:rPr>
              <w:rFonts w:cs="Times New Roman"/>
              <w:lang w:val="en-GB"/>
            </w:rPr>
            <w:fldChar w:fldCharType="end"/>
          </w:r>
        </w:sdtContent>
      </w:sdt>
      <w:r w:rsidRPr="0002155D">
        <w:rPr>
          <w:rFonts w:cs="Times New Roman"/>
          <w:lang w:val="en-GB"/>
        </w:rPr>
        <w:t xml:space="preserve"> A variety of currently human routine tasks </w:t>
      </w:r>
      <w:r>
        <w:rPr>
          <w:rFonts w:cs="Times New Roman"/>
          <w:lang w:val="en-GB"/>
        </w:rPr>
        <w:t>is</w:t>
      </w:r>
      <w:r w:rsidRPr="0002155D">
        <w:rPr>
          <w:rFonts w:cs="Times New Roman"/>
          <w:lang w:val="en-GB"/>
        </w:rPr>
        <w:t xml:space="preserve"> necessary to fulfil VAT compliance. For this reason, VAT is suitable for implementing automation initiatives. Robot process automation (RPA) strives in this context since it works on the user interface, </w:t>
      </w:r>
      <w:r>
        <w:rPr>
          <w:rFonts w:cs="Times New Roman"/>
          <w:lang w:val="en-GB"/>
        </w:rPr>
        <w:t>enabling lightweight integration across the various systems involved</w:t>
      </w:r>
      <w:sdt>
        <w:sdtPr>
          <w:rPr>
            <w:rFonts w:cs="Times New Roman"/>
            <w:lang w:val="en-GB"/>
          </w:rPr>
          <w:id w:val="1385602486"/>
          <w:citation/>
        </w:sdtPr>
        <w:sdtEndPr/>
        <w:sdtContent>
          <w:r w:rsidRPr="0002155D">
            <w:rPr>
              <w:rFonts w:cs="Times New Roman"/>
              <w:lang w:val="en-GB"/>
            </w:rPr>
            <w:fldChar w:fldCharType="begin"/>
          </w:r>
          <w:r w:rsidRPr="0002155D">
            <w:rPr>
              <w:rFonts w:cs="Times New Roman"/>
              <w:lang w:val="en-GB"/>
            </w:rPr>
            <w:instrText xml:space="preserve"> CITATION Ale19 \l 1031 </w:instrText>
          </w:r>
          <w:r w:rsidRPr="0002155D">
            <w:rPr>
              <w:rFonts w:cs="Times New Roman"/>
              <w:lang w:val="en-GB"/>
            </w:rPr>
            <w:fldChar w:fldCharType="separate"/>
          </w:r>
          <w:r w:rsidRPr="0002155D">
            <w:rPr>
              <w:rFonts w:cs="Times New Roman"/>
              <w:noProof/>
              <w:lang w:val="en-GB"/>
            </w:rPr>
            <w:t xml:space="preserve"> (Bal, 2019)</w:t>
          </w:r>
          <w:r w:rsidRPr="0002155D">
            <w:rPr>
              <w:rFonts w:cs="Times New Roman"/>
              <w:lang w:val="en-GB"/>
            </w:rPr>
            <w:fldChar w:fldCharType="end"/>
          </w:r>
        </w:sdtContent>
      </w:sdt>
      <w:r w:rsidR="00EC1640">
        <w:rPr>
          <w:rFonts w:cs="Times New Roman"/>
          <w:lang w:val="en-GB"/>
        </w:rPr>
        <w:t>.</w:t>
      </w:r>
      <w:r w:rsidRPr="0002155D">
        <w:rPr>
          <w:rFonts w:cs="Times New Roman"/>
          <w:lang w:val="en-GB"/>
        </w:rPr>
        <w:t xml:space="preserve"> </w:t>
      </w:r>
      <w:r w:rsidR="00741231">
        <w:rPr>
          <w:rFonts w:cs="Times New Roman"/>
          <w:lang w:val="en-GB"/>
        </w:rPr>
        <w:t>In business practice intra-</w:t>
      </w:r>
      <w:r w:rsidR="00E152D3">
        <w:rPr>
          <w:rFonts w:cs="Times New Roman"/>
          <w:lang w:val="en-GB"/>
        </w:rPr>
        <w:t>c</w:t>
      </w:r>
      <w:r w:rsidR="00741231">
        <w:rPr>
          <w:rFonts w:cs="Times New Roman"/>
          <w:lang w:val="en-GB"/>
        </w:rPr>
        <w:t xml:space="preserve">ommunity </w:t>
      </w:r>
      <w:r w:rsidR="00741231" w:rsidRPr="00F32F95">
        <w:rPr>
          <w:rFonts w:cs="Times New Roman"/>
          <w:lang w:val="en-GB"/>
        </w:rPr>
        <w:t>supplies demand significant amounts of manual work like collecting and evaluating documents. This compliance work causes friction in intra-</w:t>
      </w:r>
      <w:r w:rsidR="00E152D3" w:rsidRPr="00F32F95">
        <w:rPr>
          <w:rFonts w:cs="Times New Roman"/>
          <w:lang w:val="en-GB"/>
        </w:rPr>
        <w:t>c</w:t>
      </w:r>
      <w:r w:rsidR="00741231" w:rsidRPr="00F32F95">
        <w:rPr>
          <w:rFonts w:cs="Times New Roman"/>
          <w:lang w:val="en-GB"/>
        </w:rPr>
        <w:t xml:space="preserve">ommunity trade and leaves opportunities for fraudulent activities. Our solution helps to integrate </w:t>
      </w:r>
      <w:r w:rsidR="00603B32" w:rsidRPr="00F32F95">
        <w:rPr>
          <w:rFonts w:cs="Times New Roman"/>
          <w:lang w:val="en-GB"/>
        </w:rPr>
        <w:t>and evaluate information from different sources and thus standardi</w:t>
      </w:r>
      <w:r w:rsidR="00EC6153" w:rsidRPr="00F32F95">
        <w:rPr>
          <w:rFonts w:cs="Times New Roman"/>
          <w:lang w:val="en-GB"/>
        </w:rPr>
        <w:t>z</w:t>
      </w:r>
      <w:r w:rsidR="00603B32" w:rsidRPr="00F32F95">
        <w:rPr>
          <w:rFonts w:cs="Times New Roman"/>
          <w:lang w:val="en-GB"/>
        </w:rPr>
        <w:t>ing and automating the process.</w:t>
      </w:r>
    </w:p>
    <w:p w14:paraId="230AAF78" w14:textId="6931DB17" w:rsidR="00781BFA" w:rsidRPr="00F32F95" w:rsidRDefault="00781BFA" w:rsidP="00781BFA">
      <w:pPr>
        <w:rPr>
          <w:rFonts w:asciiTheme="minorHAnsi" w:hAnsiTheme="minorHAnsi" w:cs="Times New Roman"/>
          <w:lang w:val="en-GB"/>
        </w:rPr>
      </w:pPr>
      <w:r w:rsidRPr="00F32F95">
        <w:rPr>
          <w:rFonts w:cs="Times New Roman"/>
          <w:lang w:val="en-GB"/>
        </w:rPr>
        <w:t>Typical applications for RPA are a combination of manual human-centric work and already automated tasks of existing systems. RPA provides software artefacts (so-called bots or agents) that interact with different systems, enter information, and thus at least partially replace repetitive human work.</w:t>
      </w:r>
      <w:sdt>
        <w:sdtPr>
          <w:rPr>
            <w:rFonts w:cs="Times New Roman"/>
            <w:lang w:val="en-GB"/>
          </w:rPr>
          <w:id w:val="-349559063"/>
          <w:citation/>
        </w:sdtPr>
        <w:sdtEndPr/>
        <w:sdtContent>
          <w:r w:rsidRPr="00F32F95">
            <w:rPr>
              <w:rFonts w:cs="Times New Roman"/>
              <w:lang w:val="en-GB"/>
            </w:rPr>
            <w:fldChar w:fldCharType="begin"/>
          </w:r>
          <w:r w:rsidRPr="00F32F95">
            <w:rPr>
              <w:rFonts w:cs="Times New Roman"/>
              <w:lang w:val="en-GB"/>
            </w:rPr>
            <w:instrText xml:space="preserve"> CITATION van18 \l 1031 </w:instrText>
          </w:r>
          <w:r w:rsidRPr="00F32F95">
            <w:rPr>
              <w:rFonts w:cs="Times New Roman"/>
              <w:lang w:val="en-GB"/>
            </w:rPr>
            <w:fldChar w:fldCharType="separate"/>
          </w:r>
          <w:r w:rsidRPr="00F32F95">
            <w:rPr>
              <w:rFonts w:cs="Times New Roman"/>
              <w:noProof/>
              <w:lang w:val="en-GB"/>
            </w:rPr>
            <w:t xml:space="preserve"> (van der Aalst, Bichler, &amp; Heinzl, 2018)</w:t>
          </w:r>
          <w:r w:rsidRPr="00F32F95">
            <w:rPr>
              <w:rFonts w:cs="Times New Roman"/>
              <w:lang w:val="en-GB"/>
            </w:rPr>
            <w:fldChar w:fldCharType="end"/>
          </w:r>
        </w:sdtContent>
      </w:sdt>
      <w:r w:rsidRPr="00F32F95">
        <w:rPr>
          <w:rFonts w:cs="Times New Roman"/>
          <w:lang w:val="en-GB"/>
        </w:rPr>
        <w:t xml:space="preserve"> In connection with tax processes, automation implies the technical implementation of a process without human or minimal human intervention. RPA replaces human intellectual work</w:t>
      </w:r>
      <w:sdt>
        <w:sdtPr>
          <w:rPr>
            <w:rFonts w:cs="Times New Roman"/>
            <w:lang w:val="en-GB"/>
          </w:rPr>
          <w:id w:val="327797559"/>
          <w:citation/>
        </w:sdtPr>
        <w:sdtEndPr/>
        <w:sdtContent>
          <w:r w:rsidRPr="00F32F95">
            <w:rPr>
              <w:rFonts w:cs="Times New Roman"/>
              <w:lang w:val="en-GB"/>
            </w:rPr>
            <w:fldChar w:fldCharType="begin"/>
          </w:r>
          <w:r w:rsidRPr="00F32F95">
            <w:rPr>
              <w:rFonts w:cs="Times New Roman"/>
              <w:lang w:val="en-GB"/>
            </w:rPr>
            <w:instrText xml:space="preserve"> CITATION Hou19 \l 1031 </w:instrText>
          </w:r>
          <w:r w:rsidRPr="00F32F95">
            <w:rPr>
              <w:rFonts w:cs="Times New Roman"/>
              <w:lang w:val="en-GB"/>
            </w:rPr>
            <w:fldChar w:fldCharType="separate"/>
          </w:r>
          <w:r w:rsidRPr="00F32F95">
            <w:rPr>
              <w:rFonts w:cs="Times New Roman"/>
              <w:noProof/>
              <w:lang w:val="en-GB"/>
            </w:rPr>
            <w:t xml:space="preserve"> (Houy, Hamberg, &amp; Fettke, 2019)</w:t>
          </w:r>
          <w:r w:rsidRPr="00F32F95">
            <w:rPr>
              <w:rFonts w:cs="Times New Roman"/>
              <w:lang w:val="en-GB"/>
            </w:rPr>
            <w:fldChar w:fldCharType="end"/>
          </w:r>
        </w:sdtContent>
      </w:sdt>
      <w:r w:rsidR="00C11009" w:rsidRPr="00F32F95">
        <w:rPr>
          <w:rFonts w:cs="Times New Roman"/>
          <w:lang w:val="en-GB"/>
        </w:rPr>
        <w:t>.</w:t>
      </w:r>
      <w:r w:rsidRPr="00F32F95">
        <w:rPr>
          <w:rFonts w:cs="Times New Roman"/>
          <w:lang w:val="en-GB"/>
        </w:rPr>
        <w:t xml:space="preserve"> In contrast to the automation of processes in ERP systems, in which processes and the system </w:t>
      </w:r>
      <w:r w:rsidR="00C11009" w:rsidRPr="00F32F95">
        <w:rPr>
          <w:rFonts w:cs="Times New Roman"/>
          <w:lang w:val="en-GB"/>
        </w:rPr>
        <w:t>must</w:t>
      </w:r>
      <w:r w:rsidRPr="00F32F95">
        <w:rPr>
          <w:rFonts w:cs="Times New Roman"/>
          <w:lang w:val="en-GB"/>
        </w:rPr>
        <w:t xml:space="preserve"> be changed, the ERP system is retained by RPA, and existing processes can be automated. </w:t>
      </w:r>
      <w:sdt>
        <w:sdtPr>
          <w:rPr>
            <w:rFonts w:cs="Times New Roman"/>
            <w:lang w:val="en-GB"/>
          </w:rPr>
          <w:id w:val="1047185621"/>
          <w:citation/>
        </w:sdtPr>
        <w:sdtEndPr/>
        <w:sdtContent>
          <w:r w:rsidR="001D6F36" w:rsidRPr="00F32F95">
            <w:rPr>
              <w:rFonts w:cs="Times New Roman"/>
              <w:lang w:val="en-GB"/>
            </w:rPr>
            <w:fldChar w:fldCharType="begin"/>
          </w:r>
          <w:r w:rsidR="001D6F36" w:rsidRPr="00F32F95">
            <w:rPr>
              <w:rFonts w:cs="Times New Roman"/>
              <w:lang w:val="en-GB"/>
            </w:rPr>
            <w:instrText xml:space="preserve">CITATION Czarnecki21 \p 4 \l 1031 </w:instrText>
          </w:r>
          <w:r w:rsidR="001D6F36" w:rsidRPr="00F32F95">
            <w:rPr>
              <w:rFonts w:cs="Times New Roman"/>
              <w:lang w:val="en-GB"/>
            </w:rPr>
            <w:fldChar w:fldCharType="separate"/>
          </w:r>
          <w:r w:rsidR="00566D48" w:rsidRPr="00F32F95">
            <w:rPr>
              <w:rFonts w:cs="Times New Roman"/>
              <w:noProof/>
              <w:lang w:val="en-GB"/>
            </w:rPr>
            <w:t>(Czarnecki &amp; Fettke, 2021, S. 4)</w:t>
          </w:r>
          <w:r w:rsidR="001D6F36" w:rsidRPr="00F32F95">
            <w:rPr>
              <w:rFonts w:cs="Times New Roman"/>
              <w:lang w:val="en-GB"/>
            </w:rPr>
            <w:fldChar w:fldCharType="end"/>
          </w:r>
        </w:sdtContent>
      </w:sdt>
      <w:r w:rsidRPr="00F32F95">
        <w:rPr>
          <w:rFonts w:cs="Times New Roman"/>
          <w:lang w:val="en-GB"/>
        </w:rPr>
        <w:t xml:space="preserve"> Challenges in the tax area exist due to various external stakeholders involved in tax processes, missing system standardisation in cross-border situations causing system and media breaks.</w:t>
      </w:r>
      <w:r w:rsidR="00BE2107" w:rsidRPr="00F32F95">
        <w:rPr>
          <w:rFonts w:cs="Times New Roman"/>
          <w:lang w:val="en-GB"/>
        </w:rPr>
        <w:t xml:space="preserve"> This is underlined by the current </w:t>
      </w:r>
      <w:r w:rsidR="005308C3" w:rsidRPr="00F32F95">
        <w:rPr>
          <w:rFonts w:cs="Times New Roman"/>
          <w:lang w:val="en-GB"/>
        </w:rPr>
        <w:t>literature. Classical administration and accounting tasks are tackled through RPA case studies</w:t>
      </w:r>
      <w:r w:rsidR="00D73F09" w:rsidRPr="00F32F95">
        <w:rPr>
          <w:rFonts w:cs="Times New Roman"/>
          <w:lang w:val="en-GB"/>
        </w:rPr>
        <w:t xml:space="preserve"> </w:t>
      </w:r>
      <w:sdt>
        <w:sdtPr>
          <w:rPr>
            <w:rFonts w:cs="Times New Roman"/>
            <w:lang w:val="en-GB"/>
          </w:rPr>
          <w:id w:val="-1453554504"/>
          <w:citation/>
        </w:sdtPr>
        <w:sdtEndPr/>
        <w:sdtContent>
          <w:r w:rsidR="00EF4BF3" w:rsidRPr="00F32F95">
            <w:rPr>
              <w:rFonts w:cs="Times New Roman"/>
              <w:lang w:val="en-GB"/>
            </w:rPr>
            <w:fldChar w:fldCharType="begin"/>
          </w:r>
          <w:r w:rsidR="00EF4BF3" w:rsidRPr="00F32F95">
            <w:rPr>
              <w:rFonts w:cs="Times New Roman"/>
              <w:lang w:val="en-GB"/>
            </w:rPr>
            <w:instrText xml:space="preserve"> CITATION Coo19 \l 1031 </w:instrText>
          </w:r>
          <w:r w:rsidR="00EF4BF3" w:rsidRPr="00F32F95">
            <w:rPr>
              <w:rFonts w:cs="Times New Roman"/>
              <w:lang w:val="en-GB"/>
            </w:rPr>
            <w:fldChar w:fldCharType="separate"/>
          </w:r>
          <w:r w:rsidR="00EF4BF3" w:rsidRPr="00F32F95">
            <w:rPr>
              <w:rFonts w:cs="Times New Roman"/>
              <w:noProof/>
              <w:lang w:val="en-GB"/>
            </w:rPr>
            <w:t>(Cooper, Holderness, Sorensen, &amp; Wood, 2019)</w:t>
          </w:r>
          <w:r w:rsidR="00EF4BF3" w:rsidRPr="00F32F95">
            <w:rPr>
              <w:rFonts w:cs="Times New Roman"/>
              <w:lang w:val="en-GB"/>
            </w:rPr>
            <w:fldChar w:fldCharType="end"/>
          </w:r>
        </w:sdtContent>
      </w:sdt>
      <w:sdt>
        <w:sdtPr>
          <w:rPr>
            <w:rFonts w:cs="Times New Roman"/>
            <w:lang w:val="en-GB"/>
          </w:rPr>
          <w:id w:val="-1870292035"/>
          <w:citation/>
        </w:sdtPr>
        <w:sdtEndPr/>
        <w:sdtContent>
          <w:r w:rsidR="007F1B14" w:rsidRPr="00F32F95">
            <w:rPr>
              <w:rFonts w:cs="Times New Roman"/>
              <w:lang w:val="en-GB"/>
            </w:rPr>
            <w:fldChar w:fldCharType="begin"/>
          </w:r>
          <w:r w:rsidR="007F1B14" w:rsidRPr="00F32F95">
            <w:rPr>
              <w:rFonts w:cs="Times New Roman"/>
              <w:lang w:val="en-GB"/>
            </w:rPr>
            <w:instrText xml:space="preserve"> CITATION Hou19 \l 1031 </w:instrText>
          </w:r>
          <w:r w:rsidR="007F1B14" w:rsidRPr="00F32F95">
            <w:rPr>
              <w:rFonts w:cs="Times New Roman"/>
              <w:lang w:val="en-GB"/>
            </w:rPr>
            <w:fldChar w:fldCharType="separate"/>
          </w:r>
          <w:r w:rsidR="007F1B14" w:rsidRPr="00F32F95">
            <w:rPr>
              <w:rFonts w:cs="Times New Roman"/>
              <w:noProof/>
              <w:lang w:val="en-GB"/>
            </w:rPr>
            <w:t xml:space="preserve"> (Houy, Hamberg, &amp; Fettke, 2019)</w:t>
          </w:r>
          <w:r w:rsidR="007F1B14" w:rsidRPr="00F32F95">
            <w:rPr>
              <w:rFonts w:cs="Times New Roman"/>
              <w:lang w:val="en-GB"/>
            </w:rPr>
            <w:fldChar w:fldCharType="end"/>
          </w:r>
        </w:sdtContent>
      </w:sdt>
      <w:r w:rsidR="005308C3" w:rsidRPr="00F32F95">
        <w:rPr>
          <w:rFonts w:cs="Times New Roman"/>
          <w:lang w:val="en-GB"/>
        </w:rPr>
        <w:t xml:space="preserve">, while taxation </w:t>
      </w:r>
      <w:r w:rsidR="005308C3" w:rsidRPr="00F32F95">
        <w:rPr>
          <w:rFonts w:cs="Times New Roman"/>
          <w:lang w:val="en-GB"/>
        </w:rPr>
        <w:lastRenderedPageBreak/>
        <w:t xml:space="preserve">processes remain rather unexplored territory. </w:t>
      </w:r>
      <w:sdt>
        <w:sdtPr>
          <w:rPr>
            <w:rFonts w:cs="Times New Roman"/>
            <w:lang w:val="en-GB"/>
          </w:rPr>
          <w:id w:val="-594174867"/>
          <w:citation/>
        </w:sdtPr>
        <w:sdtEndPr/>
        <w:sdtContent>
          <w:r w:rsidR="00F36AA7" w:rsidRPr="00F32F95">
            <w:rPr>
              <w:rFonts w:cs="Times New Roman"/>
              <w:lang w:val="en-GB"/>
            </w:rPr>
            <w:fldChar w:fldCharType="begin"/>
          </w:r>
          <w:r w:rsidR="00F36AA7" w:rsidRPr="00F32F95">
            <w:rPr>
              <w:lang w:val="en-GB"/>
            </w:rPr>
            <w:instrText xml:space="preserve"> CITATION Sal20 \l 1031 </w:instrText>
          </w:r>
          <w:r w:rsidR="00F36AA7" w:rsidRPr="00F32F95">
            <w:rPr>
              <w:rFonts w:cs="Times New Roman"/>
              <w:lang w:val="en-GB"/>
            </w:rPr>
            <w:fldChar w:fldCharType="separate"/>
          </w:r>
          <w:r w:rsidR="00F36AA7" w:rsidRPr="00F32F95">
            <w:rPr>
              <w:rFonts w:cs="Times New Roman"/>
              <w:noProof/>
              <w:lang w:val="en-GB"/>
            </w:rPr>
            <w:t>(Sala, 2020)</w:t>
          </w:r>
          <w:r w:rsidR="00F36AA7" w:rsidRPr="00F32F95">
            <w:rPr>
              <w:rFonts w:cs="Times New Roman"/>
              <w:lang w:val="en-GB"/>
            </w:rPr>
            <w:fldChar w:fldCharType="end"/>
          </w:r>
        </w:sdtContent>
      </w:sdt>
      <w:r w:rsidR="00F36AA7" w:rsidRPr="00F32F95">
        <w:rPr>
          <w:rFonts w:cs="Times New Roman"/>
          <w:lang w:val="en-GB"/>
        </w:rPr>
        <w:t xml:space="preserve"> stresses the importance of </w:t>
      </w:r>
      <w:r w:rsidR="00FE2D09" w:rsidRPr="00F32F95">
        <w:rPr>
          <w:rFonts w:cs="Times New Roman"/>
          <w:lang w:val="en-GB"/>
        </w:rPr>
        <w:t xml:space="preserve">tax automation while suggesting </w:t>
      </w:r>
      <w:r w:rsidR="00994C6A" w:rsidRPr="00F32F95">
        <w:rPr>
          <w:rFonts w:cs="Times New Roman"/>
          <w:lang w:val="en-GB"/>
        </w:rPr>
        <w:t>starting</w:t>
      </w:r>
      <w:r w:rsidR="00FE2D09" w:rsidRPr="00F32F95">
        <w:rPr>
          <w:rFonts w:cs="Times New Roman"/>
          <w:lang w:val="en-GB"/>
        </w:rPr>
        <w:t xml:space="preserve"> with repetitive value added taxes</w:t>
      </w:r>
      <w:r w:rsidR="00192DEF" w:rsidRPr="00F32F95">
        <w:rPr>
          <w:rFonts w:cs="Times New Roman"/>
          <w:lang w:val="en-GB"/>
        </w:rPr>
        <w:t xml:space="preserve"> and </w:t>
      </w:r>
      <w:sdt>
        <w:sdtPr>
          <w:rPr>
            <w:rFonts w:cs="Times New Roman"/>
            <w:lang w:val="en-GB"/>
          </w:rPr>
          <w:id w:val="1455059405"/>
          <w:citation/>
        </w:sdtPr>
        <w:sdtEndPr/>
        <w:sdtContent>
          <w:r w:rsidR="00192DEF" w:rsidRPr="00F32F95">
            <w:rPr>
              <w:rFonts w:cs="Times New Roman"/>
              <w:lang w:val="en-GB"/>
            </w:rPr>
            <w:fldChar w:fldCharType="begin"/>
          </w:r>
          <w:r w:rsidR="00192DEF" w:rsidRPr="00F32F95">
            <w:rPr>
              <w:rFonts w:cs="Times New Roman"/>
              <w:lang w:val="en-GB"/>
            </w:rPr>
            <w:instrText xml:space="preserve"> CITATION Mez19 \l 1031 </w:instrText>
          </w:r>
          <w:r w:rsidR="00192DEF" w:rsidRPr="00F32F95">
            <w:rPr>
              <w:rFonts w:cs="Times New Roman"/>
              <w:lang w:val="en-GB"/>
            </w:rPr>
            <w:fldChar w:fldCharType="separate"/>
          </w:r>
          <w:r w:rsidR="00192DEF" w:rsidRPr="00F32F95">
            <w:rPr>
              <w:rFonts w:cs="Times New Roman"/>
              <w:noProof/>
              <w:lang w:val="en-GB"/>
            </w:rPr>
            <w:t>(Mezzio, Stein, &amp; Stein, 2019)</w:t>
          </w:r>
          <w:r w:rsidR="00192DEF" w:rsidRPr="00F32F95">
            <w:rPr>
              <w:rFonts w:cs="Times New Roman"/>
              <w:lang w:val="en-GB"/>
            </w:rPr>
            <w:fldChar w:fldCharType="end"/>
          </w:r>
        </w:sdtContent>
      </w:sdt>
      <w:r w:rsidR="00192DEF" w:rsidRPr="00F32F95">
        <w:rPr>
          <w:rFonts w:cs="Times New Roman"/>
          <w:lang w:val="en-GB"/>
        </w:rPr>
        <w:t xml:space="preserve"> </w:t>
      </w:r>
      <w:r w:rsidR="00640CAA" w:rsidRPr="00F32F95">
        <w:rPr>
          <w:rFonts w:cs="Times New Roman"/>
          <w:lang w:val="en-GB"/>
        </w:rPr>
        <w:t xml:space="preserve">highlight the importance of </w:t>
      </w:r>
      <w:r w:rsidR="00994C6A" w:rsidRPr="00F32F95">
        <w:rPr>
          <w:rFonts w:cs="Times New Roman"/>
          <w:lang w:val="en-GB"/>
        </w:rPr>
        <w:t>understanding</w:t>
      </w:r>
      <w:r w:rsidR="00526FAD" w:rsidRPr="00F32F95">
        <w:rPr>
          <w:rFonts w:cs="Times New Roman"/>
          <w:lang w:val="en-GB"/>
        </w:rPr>
        <w:t xml:space="preserve"> and analysing tax processes </w:t>
      </w:r>
      <w:r w:rsidR="001954B0" w:rsidRPr="00F32F95">
        <w:rPr>
          <w:rFonts w:cs="Times New Roman"/>
          <w:lang w:val="en-GB"/>
        </w:rPr>
        <w:t>prior to automation.</w:t>
      </w:r>
    </w:p>
    <w:p w14:paraId="6BFA57B9" w14:textId="524582A2" w:rsidR="00781BFA" w:rsidRPr="0002155D" w:rsidRDefault="001929AF" w:rsidP="00781BFA">
      <w:pPr>
        <w:rPr>
          <w:rFonts w:cs="Times New Roman"/>
          <w:lang w:val="en-GB"/>
        </w:rPr>
      </w:pPr>
      <w:r w:rsidRPr="00F32F95">
        <w:rPr>
          <w:rFonts w:cs="Times New Roman"/>
          <w:lang w:val="en-GB"/>
        </w:rPr>
        <w:t xml:space="preserve">As a consequence, </w:t>
      </w:r>
      <w:r w:rsidR="00781BFA" w:rsidRPr="00F32F95">
        <w:rPr>
          <w:rFonts w:cs="Times New Roman"/>
          <w:lang w:val="en-GB"/>
        </w:rPr>
        <w:t>the following section</w:t>
      </w:r>
      <w:r w:rsidRPr="00F32F95">
        <w:rPr>
          <w:rFonts w:cs="Times New Roman"/>
          <w:lang w:val="en-GB"/>
        </w:rPr>
        <w:t xml:space="preserve"> gives</w:t>
      </w:r>
      <w:r w:rsidR="00781BFA" w:rsidRPr="00F32F95">
        <w:rPr>
          <w:rFonts w:cs="Times New Roman"/>
          <w:lang w:val="en-GB"/>
        </w:rPr>
        <w:t xml:space="preserve"> a brief definition of Robotic Process Automation to emphasise the benefits of automation through </w:t>
      </w:r>
      <w:r w:rsidR="00781BFA" w:rsidRPr="0002155D">
        <w:rPr>
          <w:rFonts w:cs="Times New Roman"/>
          <w:lang w:val="en-GB"/>
        </w:rPr>
        <w:t xml:space="preserve">RPA in the context of Business Process Management (BPM). Then the relevance of accurate process modelling as a transfer format from the business and compliance needs onto the implementation details of RPA robots is discussed. </w:t>
      </w:r>
      <w:r w:rsidR="00781BFA">
        <w:rPr>
          <w:rFonts w:cs="Times New Roman"/>
          <w:lang w:val="en-GB"/>
        </w:rPr>
        <w:t>Finally, w</w:t>
      </w:r>
      <w:r w:rsidR="00781BFA" w:rsidRPr="0002155D">
        <w:rPr>
          <w:rFonts w:cs="Times New Roman"/>
          <w:lang w:val="en-GB"/>
        </w:rPr>
        <w:t xml:space="preserve">e present </w:t>
      </w:r>
      <w:r w:rsidR="00781BFA" w:rsidRPr="0002155D">
        <w:rPr>
          <w:rFonts w:cs="Times New Roman"/>
          <w:smallCaps/>
          <w:lang w:val="en-GB"/>
        </w:rPr>
        <w:t>Heraklit</w:t>
      </w:r>
      <w:r w:rsidR="00781BFA" w:rsidRPr="0002155D">
        <w:rPr>
          <w:rFonts w:cs="Times New Roman"/>
          <w:lang w:val="en-GB"/>
        </w:rPr>
        <w:t xml:space="preserve"> </w:t>
      </w:r>
      <w:r w:rsidR="00781BFA">
        <w:rPr>
          <w:rFonts w:cs="Times New Roman"/>
          <w:lang w:val="en-GB"/>
        </w:rPr>
        <w:t xml:space="preserve">as </w:t>
      </w:r>
      <w:r w:rsidR="00781BFA" w:rsidRPr="0002155D">
        <w:rPr>
          <w:rFonts w:cs="Times New Roman"/>
          <w:lang w:val="en-GB"/>
        </w:rPr>
        <w:t xml:space="preserve">an infrastructure to model computer-integrated systems to accomplish this task. </w:t>
      </w:r>
      <w:sdt>
        <w:sdtPr>
          <w:rPr>
            <w:rFonts w:cs="Times New Roman"/>
            <w:lang w:val="en-GB"/>
          </w:rPr>
          <w:id w:val="-702560436"/>
          <w:citation/>
        </w:sdtPr>
        <w:sdtEndPr/>
        <w:sdtContent>
          <w:r w:rsidR="00781BFA" w:rsidRPr="0002155D">
            <w:rPr>
              <w:rFonts w:cs="Times New Roman"/>
              <w:lang w:val="en-GB"/>
            </w:rPr>
            <w:fldChar w:fldCharType="begin"/>
          </w:r>
          <w:r w:rsidR="00781BFA" w:rsidRPr="0002155D">
            <w:rPr>
              <w:rFonts w:cs="Times New Roman"/>
              <w:lang w:val="en-GB"/>
            </w:rPr>
            <w:instrText xml:space="preserve">CITATION Hou19 \p 63 \l 1031 </w:instrText>
          </w:r>
          <w:r w:rsidR="00781BFA" w:rsidRPr="0002155D">
            <w:rPr>
              <w:rFonts w:cs="Times New Roman"/>
              <w:lang w:val="en-GB"/>
            </w:rPr>
            <w:fldChar w:fldCharType="separate"/>
          </w:r>
          <w:r w:rsidR="00781BFA" w:rsidRPr="0002155D">
            <w:rPr>
              <w:rFonts w:cs="Times New Roman"/>
              <w:noProof/>
              <w:lang w:val="en-GB"/>
            </w:rPr>
            <w:t>(Houy, Hamberg, &amp; Fettke, 2019, S. 63)</w:t>
          </w:r>
          <w:r w:rsidR="00781BFA" w:rsidRPr="0002155D">
            <w:rPr>
              <w:rFonts w:cs="Times New Roman"/>
              <w:lang w:val="en-GB"/>
            </w:rPr>
            <w:fldChar w:fldCharType="end"/>
          </w:r>
        </w:sdtContent>
      </w:sdt>
      <w:r w:rsidR="00781BFA" w:rsidRPr="0002155D">
        <w:rPr>
          <w:rFonts w:cs="Times New Roman"/>
          <w:lang w:val="en-GB"/>
        </w:rPr>
        <w:t xml:space="preserve"> </w:t>
      </w:r>
    </w:p>
    <w:p w14:paraId="7E0438D5" w14:textId="77777777" w:rsidR="00781BFA" w:rsidRPr="0002155D" w:rsidRDefault="00781BFA" w:rsidP="00781BFA">
      <w:pPr>
        <w:pStyle w:val="berschrift1"/>
        <w:keepLines/>
        <w:numPr>
          <w:ilvl w:val="0"/>
          <w:numId w:val="28"/>
        </w:numPr>
        <w:spacing w:before="240" w:after="0"/>
        <w:rPr>
          <w:rFonts w:cs="Times New Roman"/>
          <w:lang w:val="en-GB"/>
        </w:rPr>
      </w:pPr>
      <w:r w:rsidRPr="0002155D">
        <w:rPr>
          <w:lang w:val="en-GB"/>
        </w:rPr>
        <w:t>RPA: Problem Solutions Research Field</w:t>
      </w:r>
    </w:p>
    <w:p w14:paraId="0305417D" w14:textId="77777777" w:rsidR="00781BFA" w:rsidRPr="0002155D" w:rsidRDefault="00781BFA" w:rsidP="00781BFA">
      <w:pPr>
        <w:ind w:left="66"/>
        <w:rPr>
          <w:rFonts w:asciiTheme="minorHAnsi" w:hAnsiTheme="minorHAnsi" w:cs="Times New Roman"/>
          <w:lang w:val="en-GB"/>
        </w:rPr>
      </w:pPr>
      <w:r w:rsidRPr="0002155D">
        <w:rPr>
          <w:rFonts w:cs="Times New Roman"/>
          <w:lang w:val="en-GB"/>
        </w:rPr>
        <w:t xml:space="preserve">Robotic Process Automation has become an increasing trend in research and practice. A broad variety of cases have been presented </w:t>
      </w:r>
      <w:sdt>
        <w:sdtPr>
          <w:rPr>
            <w:rFonts w:cs="Times New Roman"/>
            <w:lang w:val="en-GB"/>
          </w:rPr>
          <w:id w:val="-20241016"/>
          <w:citation/>
        </w:sdtPr>
        <w:sdtEndPr/>
        <w:sdtContent>
          <w:r w:rsidRPr="0002155D">
            <w:rPr>
              <w:rFonts w:cs="Times New Roman"/>
              <w:lang w:val="en-GB"/>
            </w:rPr>
            <w:fldChar w:fldCharType="begin"/>
          </w:r>
          <w:r w:rsidRPr="0002155D">
            <w:rPr>
              <w:rFonts w:cs="Times New Roman"/>
              <w:lang w:val="en-GB"/>
            </w:rPr>
            <w:instrText xml:space="preserve"> CITATION Rom19 \l 1031 </w:instrText>
          </w:r>
          <w:r w:rsidRPr="0002155D">
            <w:rPr>
              <w:rFonts w:cs="Times New Roman"/>
              <w:lang w:val="en-GB"/>
            </w:rPr>
            <w:fldChar w:fldCharType="separate"/>
          </w:r>
          <w:r w:rsidRPr="0002155D">
            <w:rPr>
              <w:rFonts w:cs="Times New Roman"/>
              <w:noProof/>
              <w:lang w:val="en-GB"/>
            </w:rPr>
            <w:t>(Romao, Costa, &amp; Costa, 2019)</w:t>
          </w:r>
          <w:r w:rsidRPr="0002155D">
            <w:rPr>
              <w:rFonts w:cs="Times New Roman"/>
              <w:lang w:val="en-GB"/>
            </w:rPr>
            <w:fldChar w:fldCharType="end"/>
          </w:r>
        </w:sdtContent>
      </w:sdt>
      <w:sdt>
        <w:sdtPr>
          <w:rPr>
            <w:rFonts w:cs="Times New Roman"/>
            <w:lang w:val="en-GB"/>
          </w:rPr>
          <w:id w:val="-1158142871"/>
          <w:citation/>
        </w:sdtPr>
        <w:sdtEndPr/>
        <w:sdtContent>
          <w:r w:rsidRPr="0002155D">
            <w:rPr>
              <w:rFonts w:cs="Times New Roman"/>
              <w:lang w:val="en-GB"/>
            </w:rPr>
            <w:fldChar w:fldCharType="begin"/>
          </w:r>
          <w:r w:rsidRPr="0002155D">
            <w:rPr>
              <w:rFonts w:cs="Times New Roman"/>
              <w:lang w:val="en-GB"/>
            </w:rPr>
            <w:instrText xml:space="preserve"> CITATION Agu17 \l 1031 </w:instrText>
          </w:r>
          <w:r w:rsidRPr="0002155D">
            <w:rPr>
              <w:rFonts w:cs="Times New Roman"/>
              <w:lang w:val="en-GB"/>
            </w:rPr>
            <w:fldChar w:fldCharType="separate"/>
          </w:r>
          <w:r w:rsidRPr="0002155D">
            <w:rPr>
              <w:rFonts w:cs="Times New Roman"/>
              <w:noProof/>
              <w:lang w:val="en-GB"/>
            </w:rPr>
            <w:t xml:space="preserve"> (Aguirre &amp; Rodriguez, 2017)</w:t>
          </w:r>
          <w:r w:rsidRPr="0002155D">
            <w:rPr>
              <w:rFonts w:cs="Times New Roman"/>
              <w:lang w:val="en-GB"/>
            </w:rPr>
            <w:fldChar w:fldCharType="end"/>
          </w:r>
        </w:sdtContent>
      </w:sdt>
      <w:r w:rsidRPr="0002155D">
        <w:rPr>
          <w:rFonts w:cs="Times New Roman"/>
          <w:lang w:val="en-GB"/>
        </w:rPr>
        <w:t>. RPA is an innovative approach to transform the process execution without changing the underlying application system. First, authors have characteri</w:t>
      </w:r>
      <w:r>
        <w:rPr>
          <w:rFonts w:cs="Times New Roman"/>
          <w:lang w:val="en-GB"/>
        </w:rPr>
        <w:t>s</w:t>
      </w:r>
      <w:r w:rsidRPr="0002155D">
        <w:rPr>
          <w:rFonts w:cs="Times New Roman"/>
          <w:lang w:val="en-GB"/>
        </w:rPr>
        <w:t>ed those systems by the ease of implementation – no or only minimal programming effort – and the simple integration in existing application landscapes through user interfaces. Others emphasi</w:t>
      </w:r>
      <w:r>
        <w:rPr>
          <w:rFonts w:cs="Times New Roman"/>
          <w:lang w:val="en-GB"/>
        </w:rPr>
        <w:t>s</w:t>
      </w:r>
      <w:r w:rsidRPr="0002155D">
        <w:rPr>
          <w:rFonts w:cs="Times New Roman"/>
          <w:lang w:val="en-GB"/>
        </w:rPr>
        <w:t xml:space="preserve">e the imitation of tasks that a human would do </w:t>
      </w:r>
      <w:sdt>
        <w:sdtPr>
          <w:rPr>
            <w:rFonts w:cs="Times New Roman"/>
            <w:lang w:val="en-GB"/>
          </w:rPr>
          <w:id w:val="-1124546163"/>
          <w:citation/>
        </w:sdtPr>
        <w:sdtEndPr/>
        <w:sdtContent>
          <w:r w:rsidRPr="0002155D">
            <w:rPr>
              <w:rFonts w:cs="Times New Roman"/>
              <w:lang w:val="en-GB"/>
            </w:rPr>
            <w:fldChar w:fldCharType="begin"/>
          </w:r>
          <w:r w:rsidRPr="0002155D">
            <w:rPr>
              <w:rFonts w:cs="Times New Roman"/>
              <w:lang w:val="en-GB"/>
            </w:rPr>
            <w:instrText xml:space="preserve"> CITATION van18 \l 1031 </w:instrText>
          </w:r>
          <w:r w:rsidRPr="0002155D">
            <w:rPr>
              <w:rFonts w:cs="Times New Roman"/>
              <w:lang w:val="en-GB"/>
            </w:rPr>
            <w:fldChar w:fldCharType="separate"/>
          </w:r>
          <w:r w:rsidRPr="0002155D">
            <w:rPr>
              <w:rFonts w:cs="Times New Roman"/>
              <w:noProof/>
              <w:lang w:val="en-GB"/>
            </w:rPr>
            <w:t>(van der Aalst, Bichler, &amp; Heinzl, 2018)</w:t>
          </w:r>
          <w:r w:rsidRPr="0002155D">
            <w:rPr>
              <w:rFonts w:cs="Times New Roman"/>
              <w:lang w:val="en-GB"/>
            </w:rPr>
            <w:fldChar w:fldCharType="end"/>
          </w:r>
        </w:sdtContent>
      </w:sdt>
      <w:r w:rsidRPr="0002155D">
        <w:rPr>
          <w:rFonts w:cs="Times New Roman"/>
          <w:lang w:val="en-GB"/>
        </w:rPr>
        <w:t>. Defining the term RPA is not that easy, as it is more an idea inspired by practice instead of a carefully developed concept. It is</w:t>
      </w:r>
      <w:r>
        <w:rPr>
          <w:rFonts w:cs="Times New Roman"/>
          <w:lang w:val="en-GB"/>
        </w:rPr>
        <w:t>,</w:t>
      </w:r>
      <w:r w:rsidRPr="0002155D">
        <w:rPr>
          <w:rFonts w:cs="Times New Roman"/>
          <w:lang w:val="en-GB"/>
        </w:rPr>
        <w:t xml:space="preserve"> therefore</w:t>
      </w:r>
      <w:r>
        <w:rPr>
          <w:rFonts w:cs="Times New Roman"/>
          <w:lang w:val="en-GB"/>
        </w:rPr>
        <w:t>,</w:t>
      </w:r>
      <w:r w:rsidRPr="0002155D">
        <w:rPr>
          <w:rFonts w:cs="Times New Roman"/>
          <w:lang w:val="en-GB"/>
        </w:rPr>
        <w:t xml:space="preserve"> a term used for a </w:t>
      </w:r>
      <w:r>
        <w:rPr>
          <w:rFonts w:cs="Times New Roman"/>
          <w:lang w:val="en-GB"/>
        </w:rPr>
        <w:t>wide</w:t>
      </w:r>
      <w:r w:rsidRPr="0002155D">
        <w:rPr>
          <w:rFonts w:cs="Times New Roman"/>
          <w:lang w:val="en-GB"/>
        </w:rPr>
        <w:t xml:space="preserve"> variety of automation techniques.</w:t>
      </w:r>
    </w:p>
    <w:p w14:paraId="7BAE007E" w14:textId="77777777" w:rsidR="00781BFA" w:rsidRPr="0002155D" w:rsidRDefault="00781BFA" w:rsidP="00781BFA">
      <w:pPr>
        <w:ind w:left="66"/>
        <w:rPr>
          <w:rFonts w:asciiTheme="minorHAnsi" w:hAnsiTheme="minorHAnsi" w:cs="Times New Roman"/>
          <w:lang w:val="en-GB"/>
        </w:rPr>
      </w:pPr>
      <w:r w:rsidRPr="0002155D">
        <w:rPr>
          <w:rFonts w:cs="Times New Roman"/>
          <w:lang w:val="en-GB"/>
        </w:rPr>
        <w:t xml:space="preserve">Increasing the automation of a process through technological progress is not a new idea but a core topic of various business, informatics, and engineering disciplines, that has been discussed for decades. The innovation potential resulting from the interaction of processes and technology was already </w:t>
      </w:r>
      <w:r>
        <w:rPr>
          <w:rFonts w:cs="Times New Roman"/>
          <w:lang w:val="en-GB"/>
        </w:rPr>
        <w:t>addre</w:t>
      </w:r>
      <w:r w:rsidRPr="0002155D">
        <w:rPr>
          <w:rFonts w:cs="Times New Roman"/>
          <w:lang w:val="en-GB"/>
        </w:rPr>
        <w:t xml:space="preserve">ssed in the 1990s in the context of business process reengineering. The core focus of those traditional process automation approaches is an execution of process flows according to mainly static requirements that are either hardcoded into application systems (ERP, CRM, …) or defined in a business process management system (BPMS). While these systems provide highly reliable integration of many tasks, they imply the </w:t>
      </w:r>
      <w:r w:rsidRPr="0002155D">
        <w:rPr>
          <w:rFonts w:cs="Times New Roman"/>
          <w:lang w:val="en-GB"/>
        </w:rPr>
        <w:lastRenderedPageBreak/>
        <w:t>costly and time-consuming process of customi</w:t>
      </w:r>
      <w:r>
        <w:rPr>
          <w:rFonts w:cs="Times New Roman"/>
          <w:lang w:val="en-GB"/>
        </w:rPr>
        <w:t>s</w:t>
      </w:r>
      <w:r w:rsidRPr="0002155D">
        <w:rPr>
          <w:rFonts w:cs="Times New Roman"/>
          <w:lang w:val="en-GB"/>
        </w:rPr>
        <w:t>ation and adaptation to the needs of the individual processes in the enterprise.</w:t>
      </w:r>
    </w:p>
    <w:p w14:paraId="5D55E8CC" w14:textId="7F1811A1" w:rsidR="00781BFA" w:rsidRPr="0002155D" w:rsidRDefault="00781BFA" w:rsidP="00781BFA">
      <w:pPr>
        <w:ind w:left="66"/>
        <w:rPr>
          <w:rFonts w:asciiTheme="minorHAnsi" w:hAnsiTheme="minorHAnsi" w:cs="Times New Roman"/>
          <w:lang w:val="en-GB"/>
        </w:rPr>
      </w:pPr>
      <w:r w:rsidRPr="0002155D">
        <w:rPr>
          <w:rFonts w:cs="Times New Roman"/>
          <w:lang w:val="en-GB"/>
        </w:rPr>
        <w:t>The automation of business processes via software robots</w:t>
      </w:r>
      <w:r>
        <w:rPr>
          <w:rFonts w:cs="Times New Roman"/>
          <w:lang w:val="en-GB"/>
        </w:rPr>
        <w:t>,</w:t>
      </w:r>
      <w:r w:rsidRPr="0002155D">
        <w:rPr>
          <w:rFonts w:cs="Times New Roman"/>
          <w:lang w:val="en-GB"/>
        </w:rPr>
        <w:t xml:space="preserve"> on the other hand, starts with another perspective: The manual interaction of humans with existing applications is observed with the goal of imitating this behaviour with a software robot. This bot then takes over the execution specific activities, which contains the handling of involved application systems through the existing presentation layer. Hence, neither processes nor application systems are changed, and data is only handled via existing applications</w:t>
      </w:r>
      <w:r w:rsidR="008B1361">
        <w:rPr>
          <w:rFonts w:cs="Times New Roman"/>
          <w:lang w:val="en-GB"/>
        </w:rPr>
        <w:t xml:space="preserve"> </w:t>
      </w:r>
      <w:sdt>
        <w:sdtPr>
          <w:rPr>
            <w:rFonts w:cs="Times New Roman"/>
            <w:lang w:val="en-GB"/>
          </w:rPr>
          <w:id w:val="-2739649"/>
          <w:citation/>
        </w:sdtPr>
        <w:sdtEndPr/>
        <w:sdtContent>
          <w:r w:rsidR="008B1361">
            <w:rPr>
              <w:rFonts w:cs="Times New Roman"/>
              <w:lang w:val="en-GB"/>
            </w:rPr>
            <w:fldChar w:fldCharType="begin"/>
          </w:r>
          <w:r w:rsidR="008B1361" w:rsidRPr="008B1361">
            <w:rPr>
              <w:rFonts w:cs="Times New Roman"/>
              <w:lang w:val="en-US"/>
            </w:rPr>
            <w:instrText xml:space="preserve"> CITATION Czarnecki21 \l 1031 </w:instrText>
          </w:r>
          <w:r w:rsidR="008B1361">
            <w:rPr>
              <w:rFonts w:cs="Times New Roman"/>
              <w:lang w:val="en-GB"/>
            </w:rPr>
            <w:fldChar w:fldCharType="separate"/>
          </w:r>
          <w:r w:rsidR="00566D48" w:rsidRPr="00566D48">
            <w:rPr>
              <w:rFonts w:cs="Times New Roman"/>
              <w:noProof/>
              <w:lang w:val="en-US"/>
            </w:rPr>
            <w:t>(Czarnecki &amp; Fettke, 2021)</w:t>
          </w:r>
          <w:r w:rsidR="008B1361">
            <w:rPr>
              <w:rFonts w:cs="Times New Roman"/>
              <w:lang w:val="en-GB"/>
            </w:rPr>
            <w:fldChar w:fldCharType="end"/>
          </w:r>
        </w:sdtContent>
      </w:sdt>
      <w:r w:rsidRPr="0002155D">
        <w:rPr>
          <w:rFonts w:cs="Times New Roman"/>
          <w:lang w:val="en-GB"/>
        </w:rPr>
        <w:t>.</w:t>
      </w:r>
    </w:p>
    <w:p w14:paraId="43D0B0CD" w14:textId="74433FB2" w:rsidR="00781BFA" w:rsidRPr="0002155D" w:rsidRDefault="00781BFA" w:rsidP="00781BFA">
      <w:pPr>
        <w:ind w:left="66"/>
        <w:rPr>
          <w:rFonts w:asciiTheme="minorHAnsi" w:hAnsiTheme="minorHAnsi" w:cs="Times New Roman"/>
          <w:lang w:val="en-GB"/>
        </w:rPr>
      </w:pPr>
      <w:r w:rsidRPr="0002155D">
        <w:rPr>
          <w:rFonts w:cs="Times New Roman"/>
          <w:lang w:val="en-GB"/>
        </w:rPr>
        <w:t>The functional scope of an RPA system is thereby defined th</w:t>
      </w:r>
      <w:r>
        <w:rPr>
          <w:rFonts w:cs="Times New Roman"/>
          <w:lang w:val="en-GB"/>
        </w:rPr>
        <w:t>rough</w:t>
      </w:r>
      <w:r w:rsidRPr="0002155D">
        <w:rPr>
          <w:rFonts w:cs="Times New Roman"/>
          <w:lang w:val="en-GB"/>
        </w:rPr>
        <w:t xml:space="preserve"> the selection and description of the process to be automated. Individual activities might range from simple emulation of routine tasks to autonomously reaching complex decisions. Although automation starts with the observation of human actions, proper automation of a manual process does not necessarily mean that all tasks are performed in an equivalent manner</w:t>
      </w:r>
      <w:r w:rsidR="001B453C">
        <w:rPr>
          <w:rFonts w:cs="Times New Roman"/>
          <w:lang w:val="en-GB"/>
        </w:rPr>
        <w:t xml:space="preserve"> </w:t>
      </w:r>
      <w:sdt>
        <w:sdtPr>
          <w:rPr>
            <w:rFonts w:cs="Times New Roman"/>
            <w:lang w:val="en-GB"/>
          </w:rPr>
          <w:id w:val="-1064180414"/>
          <w:citation/>
        </w:sdtPr>
        <w:sdtEndPr/>
        <w:sdtContent>
          <w:r w:rsidR="00506761">
            <w:rPr>
              <w:rFonts w:cs="Times New Roman"/>
              <w:lang w:val="en-GB"/>
            </w:rPr>
            <w:fldChar w:fldCharType="begin"/>
          </w:r>
          <w:r w:rsidR="00506761" w:rsidRPr="00506761">
            <w:rPr>
              <w:rFonts w:cs="Times New Roman"/>
              <w:lang w:val="en-GB"/>
            </w:rPr>
            <w:instrText xml:space="preserve"> CITATION Czarnecki21 \l 1031 </w:instrText>
          </w:r>
          <w:r w:rsidR="00506761">
            <w:rPr>
              <w:rFonts w:cs="Times New Roman"/>
              <w:lang w:val="en-GB"/>
            </w:rPr>
            <w:fldChar w:fldCharType="separate"/>
          </w:r>
          <w:r w:rsidR="00566D48" w:rsidRPr="00566D48">
            <w:rPr>
              <w:rFonts w:cs="Times New Roman"/>
              <w:noProof/>
              <w:lang w:val="en-GB"/>
            </w:rPr>
            <w:t>(Czarnecki &amp; Fettke, 2021)</w:t>
          </w:r>
          <w:r w:rsidR="00506761">
            <w:rPr>
              <w:rFonts w:cs="Times New Roman"/>
              <w:lang w:val="en-GB"/>
            </w:rPr>
            <w:fldChar w:fldCharType="end"/>
          </w:r>
        </w:sdtContent>
      </w:sdt>
      <w:r w:rsidRPr="0002155D">
        <w:rPr>
          <w:rFonts w:cs="Times New Roman"/>
          <w:lang w:val="en-GB"/>
        </w:rPr>
        <w:t xml:space="preserve">. This makes it difficult to understand and manage the transformation from manual to automated processes. Furthermore, it might be </w:t>
      </w:r>
      <w:r>
        <w:rPr>
          <w:rFonts w:cs="Times New Roman"/>
          <w:lang w:val="en-GB"/>
        </w:rPr>
        <w:t>help</w:t>
      </w:r>
      <w:r w:rsidRPr="0002155D">
        <w:rPr>
          <w:rFonts w:cs="Times New Roman"/>
          <w:lang w:val="en-GB"/>
        </w:rPr>
        <w:t xml:space="preserve">ful to extend the software robot by further functionalities that could help to improve existing processes or even develop </w:t>
      </w:r>
      <w:r>
        <w:rPr>
          <w:rFonts w:cs="Times New Roman"/>
          <w:lang w:val="en-GB"/>
        </w:rPr>
        <w:t>entir</w:t>
      </w:r>
      <w:r w:rsidRPr="0002155D">
        <w:rPr>
          <w:rFonts w:cs="Times New Roman"/>
          <w:lang w:val="en-GB"/>
        </w:rPr>
        <w:t>ely new processes.</w:t>
      </w:r>
    </w:p>
    <w:p w14:paraId="381B8862" w14:textId="77777777" w:rsidR="00781BFA" w:rsidRPr="0002155D" w:rsidRDefault="00781BFA" w:rsidP="00781BFA">
      <w:pPr>
        <w:ind w:left="66"/>
        <w:rPr>
          <w:rFonts w:asciiTheme="minorHAnsi" w:hAnsiTheme="minorHAnsi" w:cs="Times New Roman"/>
          <w:lang w:val="en-GB"/>
        </w:rPr>
      </w:pPr>
      <w:r w:rsidRPr="0002155D">
        <w:rPr>
          <w:rFonts w:cs="Times New Roman"/>
          <w:lang w:val="en-GB"/>
        </w:rPr>
        <w:t xml:space="preserve">The main benefit of RPA lies in the lightweight integration of systems. This opens the opportunity to automate activities, where the </w:t>
      </w:r>
      <w:r>
        <w:rPr>
          <w:rFonts w:cs="Times New Roman"/>
          <w:lang w:val="en-GB"/>
        </w:rPr>
        <w:t>economic</w:t>
      </w:r>
      <w:r w:rsidRPr="0002155D">
        <w:rPr>
          <w:rFonts w:cs="Times New Roman"/>
          <w:lang w:val="en-GB"/>
        </w:rPr>
        <w:t xml:space="preserve"> benefit potential is usually in a range that would not allow a substantial reengineering project. Additionally, the idea of a software robot implies a flexible and agile entity. The composition of different software robots forms a highly dynamic and complex system.</w:t>
      </w:r>
    </w:p>
    <w:p w14:paraId="134BDE43" w14:textId="77777777" w:rsidR="00781BFA" w:rsidRPr="0002155D" w:rsidRDefault="00781BFA" w:rsidP="00781BFA">
      <w:pPr>
        <w:ind w:left="66"/>
        <w:rPr>
          <w:rFonts w:cs="Times New Roman"/>
          <w:lang w:val="en-GB"/>
        </w:rPr>
      </w:pPr>
      <w:r w:rsidRPr="0002155D">
        <w:rPr>
          <w:rFonts w:cs="Times New Roman"/>
          <w:lang w:val="en-GB"/>
        </w:rPr>
        <w:t xml:space="preserve">To manage and control the transformation process of manual steps to RPA bots, we propose the modelling language </w:t>
      </w:r>
      <w:r w:rsidRPr="0002155D">
        <w:rPr>
          <w:rFonts w:cs="Times New Roman"/>
          <w:smallCaps/>
          <w:lang w:val="en-GB"/>
        </w:rPr>
        <w:t>Heraklit</w:t>
      </w:r>
      <w:r w:rsidRPr="0002155D">
        <w:rPr>
          <w:rFonts w:cs="Times New Roman"/>
          <w:lang w:val="en-GB"/>
        </w:rPr>
        <w:t>. It has been developed to depict the dynamics of business processes and their interplay with information systems while accurately tracking the role of static data elements.</w:t>
      </w:r>
    </w:p>
    <w:p w14:paraId="609A6ED4" w14:textId="77777777" w:rsidR="00781BFA" w:rsidRPr="00F32F95" w:rsidRDefault="00781BFA" w:rsidP="00781BFA">
      <w:pPr>
        <w:ind w:left="66"/>
        <w:rPr>
          <w:rFonts w:cs="Times New Roman"/>
          <w:lang w:val="en-GB"/>
        </w:rPr>
      </w:pPr>
      <w:r w:rsidRPr="0002155D">
        <w:rPr>
          <w:rFonts w:cs="Times New Roman"/>
          <w:lang w:val="en-GB"/>
        </w:rPr>
        <w:t xml:space="preserve">Through the usage of </w:t>
      </w:r>
      <w:r w:rsidRPr="0002155D">
        <w:rPr>
          <w:rFonts w:cs="Times New Roman"/>
          <w:smallCaps/>
          <w:lang w:val="en-GB"/>
        </w:rPr>
        <w:t>Heraklit</w:t>
      </w:r>
      <w:r w:rsidRPr="0002155D">
        <w:rPr>
          <w:rFonts w:cs="Times New Roman"/>
          <w:lang w:val="en-GB"/>
        </w:rPr>
        <w:t>, the status quo of the business process can be descri</w:t>
      </w:r>
      <w:r>
        <w:rPr>
          <w:rFonts w:cs="Times New Roman"/>
          <w:lang w:val="en-GB"/>
        </w:rPr>
        <w:t>b</w:t>
      </w:r>
      <w:r w:rsidRPr="0002155D">
        <w:rPr>
          <w:rFonts w:cs="Times New Roman"/>
          <w:lang w:val="en-GB"/>
        </w:rPr>
        <w:t xml:space="preserve">ed with the same language as the automated bot-based process. </w:t>
      </w:r>
      <w:r w:rsidRPr="0002155D">
        <w:rPr>
          <w:rFonts w:cs="Times New Roman"/>
          <w:smallCaps/>
          <w:lang w:val="en-GB"/>
        </w:rPr>
        <w:t>Heraklit</w:t>
      </w:r>
      <w:r w:rsidRPr="0002155D">
        <w:rPr>
          <w:rFonts w:cs="Times New Roman"/>
          <w:lang w:val="en-GB"/>
        </w:rPr>
        <w:t xml:space="preserve"> will be used to model </w:t>
      </w:r>
      <w:r>
        <w:rPr>
          <w:rFonts w:cs="Times New Roman"/>
          <w:lang w:val="en-GB"/>
        </w:rPr>
        <w:t>"</w:t>
      </w:r>
      <w:r w:rsidRPr="0002155D">
        <w:rPr>
          <w:rFonts w:cs="Times New Roman"/>
          <w:lang w:val="en-GB"/>
        </w:rPr>
        <w:t>what</w:t>
      </w:r>
      <w:r>
        <w:rPr>
          <w:rFonts w:cs="Times New Roman"/>
          <w:lang w:val="en-GB"/>
        </w:rPr>
        <w:t>"</w:t>
      </w:r>
      <w:r w:rsidRPr="0002155D">
        <w:rPr>
          <w:rFonts w:cs="Times New Roman"/>
          <w:lang w:val="en-GB"/>
        </w:rPr>
        <w:t xml:space="preserve"> an RPA-bot will do </w:t>
      </w:r>
      <w:r>
        <w:rPr>
          <w:rFonts w:cs="Times New Roman"/>
          <w:lang w:val="en-GB"/>
        </w:rPr>
        <w:t>instead of</w:t>
      </w:r>
      <w:r w:rsidRPr="0002155D">
        <w:rPr>
          <w:rFonts w:cs="Times New Roman"/>
          <w:lang w:val="en-GB"/>
        </w:rPr>
        <w:t xml:space="preserve"> </w:t>
      </w:r>
      <w:r>
        <w:rPr>
          <w:rFonts w:cs="Times New Roman"/>
          <w:lang w:val="en-GB"/>
        </w:rPr>
        <w:t>"</w:t>
      </w:r>
      <w:r w:rsidRPr="0002155D">
        <w:rPr>
          <w:rFonts w:cs="Times New Roman"/>
          <w:lang w:val="en-GB"/>
        </w:rPr>
        <w:t>how</w:t>
      </w:r>
      <w:r>
        <w:rPr>
          <w:rFonts w:cs="Times New Roman"/>
          <w:lang w:val="en-GB"/>
        </w:rPr>
        <w:t>"</w:t>
      </w:r>
      <w:r w:rsidRPr="0002155D">
        <w:rPr>
          <w:rFonts w:cs="Times New Roman"/>
          <w:lang w:val="en-GB"/>
        </w:rPr>
        <w:t xml:space="preserve"> a bot will execute its actions. The model thus abstracts from the concrete implementation of a bot but is </w:t>
      </w:r>
      <w:r>
        <w:rPr>
          <w:rFonts w:cs="Times New Roman"/>
          <w:lang w:val="en-GB"/>
        </w:rPr>
        <w:t>tangibl</w:t>
      </w:r>
      <w:r w:rsidRPr="0002155D">
        <w:rPr>
          <w:rFonts w:cs="Times New Roman"/>
          <w:lang w:val="en-GB"/>
        </w:rPr>
        <w:t xml:space="preserve">e enough to be used as an implementation instruction. As will be shown in chapter 3.3, the language also </w:t>
      </w:r>
      <w:r w:rsidRPr="0002155D">
        <w:rPr>
          <w:rFonts w:cs="Times New Roman"/>
          <w:lang w:val="en-GB"/>
        </w:rPr>
        <w:lastRenderedPageBreak/>
        <w:t xml:space="preserve">allows </w:t>
      </w:r>
      <w:r>
        <w:rPr>
          <w:rFonts w:cs="Times New Roman"/>
          <w:lang w:val="en-GB"/>
        </w:rPr>
        <w:t>documenting</w:t>
      </w:r>
      <w:r w:rsidRPr="0002155D">
        <w:rPr>
          <w:rFonts w:cs="Times New Roman"/>
          <w:lang w:val="en-GB"/>
        </w:rPr>
        <w:t xml:space="preserve"> the execution of bots on an abstract and </w:t>
      </w:r>
      <w:r w:rsidRPr="00F32F95">
        <w:rPr>
          <w:rFonts w:cs="Times New Roman"/>
          <w:lang w:val="en-GB"/>
        </w:rPr>
        <w:t>comprehensible level.</w:t>
      </w:r>
    </w:p>
    <w:p w14:paraId="4E630A3F" w14:textId="3F615B3F" w:rsidR="00D96BE9" w:rsidRPr="00F32F95" w:rsidRDefault="00A85D6A" w:rsidP="00781BFA">
      <w:pPr>
        <w:pStyle w:val="berschrift1"/>
        <w:keepLines/>
        <w:numPr>
          <w:ilvl w:val="0"/>
          <w:numId w:val="28"/>
        </w:numPr>
        <w:spacing w:before="240" w:after="0"/>
        <w:rPr>
          <w:rFonts w:cs="Times New Roman"/>
          <w:smallCaps/>
          <w:lang w:val="en-GB"/>
        </w:rPr>
      </w:pPr>
      <w:r w:rsidRPr="00F32F95">
        <w:rPr>
          <w:rFonts w:cs="Times New Roman"/>
          <w:lang w:val="en-GB"/>
        </w:rPr>
        <w:t xml:space="preserve">Methodological approach: </w:t>
      </w:r>
      <w:r w:rsidR="00D96BE9" w:rsidRPr="00F32F95">
        <w:rPr>
          <w:rFonts w:cs="Times New Roman"/>
          <w:lang w:val="en-GB"/>
        </w:rPr>
        <w:t xml:space="preserve">Modelling RPA-based systems with </w:t>
      </w:r>
      <w:r w:rsidR="00D96BE9" w:rsidRPr="00F32F95">
        <w:rPr>
          <w:rFonts w:cs="Times New Roman"/>
          <w:smallCaps/>
          <w:lang w:val="en-GB"/>
        </w:rPr>
        <w:t>Heraklit</w:t>
      </w:r>
    </w:p>
    <w:p w14:paraId="1F9221C7" w14:textId="37D936C9" w:rsidR="00DD2E0E" w:rsidRPr="00F32F95" w:rsidRDefault="00E27CBA" w:rsidP="00E27CBA">
      <w:pPr>
        <w:rPr>
          <w:lang w:val="en-GB"/>
        </w:rPr>
      </w:pPr>
      <w:r w:rsidRPr="00F32F95">
        <w:rPr>
          <w:smallCaps/>
          <w:lang w:val="en-GB"/>
        </w:rPr>
        <w:t>Heraklit</w:t>
      </w:r>
      <w:r w:rsidRPr="00F32F95">
        <w:rPr>
          <w:lang w:val="en-GB"/>
        </w:rPr>
        <w:t xml:space="preserve"> is a </w:t>
      </w:r>
      <w:r w:rsidR="00724B78" w:rsidRPr="00F32F95">
        <w:rPr>
          <w:lang w:val="en-GB"/>
        </w:rPr>
        <w:t>general-purpose</w:t>
      </w:r>
      <w:r w:rsidRPr="00F32F95">
        <w:rPr>
          <w:lang w:val="en-GB"/>
        </w:rPr>
        <w:t xml:space="preserve"> modelling language based on </w:t>
      </w:r>
      <w:r w:rsidR="004C47FF" w:rsidRPr="00F32F95">
        <w:rPr>
          <w:lang w:val="en-GB"/>
        </w:rPr>
        <w:t xml:space="preserve">symbolic </w:t>
      </w:r>
      <w:r w:rsidRPr="00F32F95">
        <w:rPr>
          <w:lang w:val="en-GB"/>
        </w:rPr>
        <w:t>petri nets.</w:t>
      </w:r>
      <w:r w:rsidR="00E97B8A" w:rsidRPr="00F32F95">
        <w:rPr>
          <w:lang w:val="en-GB"/>
        </w:rPr>
        <w:t xml:space="preserve"> </w:t>
      </w:r>
      <w:r w:rsidR="00500D84" w:rsidRPr="00F32F95">
        <w:rPr>
          <w:smallCaps/>
          <w:lang w:val="en-GB"/>
        </w:rPr>
        <w:t>Heraklit</w:t>
      </w:r>
      <w:r w:rsidR="00500D84" w:rsidRPr="00F32F95">
        <w:rPr>
          <w:lang w:val="en-GB"/>
        </w:rPr>
        <w:t xml:space="preserve"> summarises objects and operations on objects of all kinds in a structure: individual objects, documents, abstract objects, services, data, deadlines, invoices with payment terms, composed objects et cetera. The signature is a purely symbolic representation of several structures at the same time.</w:t>
      </w:r>
      <w:r w:rsidR="000A7B20" w:rsidRPr="00F32F95">
        <w:rPr>
          <w:lang w:val="en-GB"/>
        </w:rPr>
        <w:t xml:space="preserve"> Structures and signatures allow </w:t>
      </w:r>
      <w:r w:rsidR="000A7B20" w:rsidRPr="00F32F95">
        <w:rPr>
          <w:smallCaps/>
          <w:lang w:val="en-GB"/>
        </w:rPr>
        <w:t>Heraklit</w:t>
      </w:r>
      <w:r w:rsidR="00DD2E0E" w:rsidRPr="00F32F95">
        <w:rPr>
          <w:smallCaps/>
          <w:lang w:val="en-GB"/>
        </w:rPr>
        <w:t xml:space="preserve"> </w:t>
      </w:r>
      <w:r w:rsidR="00DD2E0E" w:rsidRPr="00F32F95">
        <w:rPr>
          <w:lang w:val="en-GB"/>
        </w:rPr>
        <w:t>to model static aspects of business processes.</w:t>
      </w:r>
    </w:p>
    <w:p w14:paraId="29ED3832" w14:textId="23179EE1" w:rsidR="00DD2E0E" w:rsidRPr="00F32F95" w:rsidRDefault="00DD2E0E" w:rsidP="00E27CBA">
      <w:pPr>
        <w:rPr>
          <w:lang w:val="en-GB"/>
        </w:rPr>
      </w:pPr>
      <w:r w:rsidRPr="00F32F95">
        <w:rPr>
          <w:lang w:val="en-GB"/>
        </w:rPr>
        <w:t xml:space="preserve">The dynamics and state changes of individual objects are </w:t>
      </w:r>
      <w:r w:rsidR="0025070C" w:rsidRPr="00F32F95">
        <w:rPr>
          <w:lang w:val="en-GB"/>
        </w:rPr>
        <w:t>illustrated via</w:t>
      </w:r>
      <w:r w:rsidR="008B5F6D" w:rsidRPr="00F32F95">
        <w:rPr>
          <w:lang w:val="en-GB"/>
        </w:rPr>
        <w:t xml:space="preserve"> the well-founded and proven concept of</w:t>
      </w:r>
      <w:r w:rsidR="0025070C" w:rsidRPr="00F32F95">
        <w:rPr>
          <w:lang w:val="en-GB"/>
        </w:rPr>
        <w:t xml:space="preserve"> petri nets.</w:t>
      </w:r>
    </w:p>
    <w:p w14:paraId="5C36D9C1" w14:textId="087BDFD7" w:rsidR="00E97B8A" w:rsidRPr="00F32F95" w:rsidRDefault="00E97B8A" w:rsidP="00E27CBA">
      <w:pPr>
        <w:rPr>
          <w:lang w:val="en-GB"/>
        </w:rPr>
      </w:pPr>
      <w:r w:rsidRPr="00F32F95">
        <w:rPr>
          <w:lang w:val="en-GB"/>
        </w:rPr>
        <w:t xml:space="preserve">Lastly, the architecture of larger complexes can be described through the notion of modules. These have </w:t>
      </w:r>
      <w:r w:rsidR="00424E57" w:rsidRPr="00F32F95">
        <w:rPr>
          <w:lang w:val="en-GB"/>
        </w:rPr>
        <w:t>interfaces with gates, allowing them to interact with other modules.</w:t>
      </w:r>
      <w:sdt>
        <w:sdtPr>
          <w:rPr>
            <w:lang w:val="en-GB"/>
          </w:rPr>
          <w:id w:val="-1236699963"/>
          <w:citation/>
        </w:sdtPr>
        <w:sdtEndPr/>
        <w:sdtContent>
          <w:r w:rsidR="00D9686E" w:rsidRPr="00F32F95">
            <w:rPr>
              <w:lang w:val="en-GB"/>
            </w:rPr>
            <w:fldChar w:fldCharType="begin"/>
          </w:r>
          <w:r w:rsidR="00110E45">
            <w:rPr>
              <w:lang w:val="en-US"/>
            </w:rPr>
            <w:instrText xml:space="preserve">CITATION Fet20 \t  \l 1031 </w:instrText>
          </w:r>
          <w:r w:rsidR="00D9686E" w:rsidRPr="00F32F95">
            <w:rPr>
              <w:lang w:val="en-GB"/>
            </w:rPr>
            <w:fldChar w:fldCharType="separate"/>
          </w:r>
          <w:r w:rsidR="00110E45">
            <w:rPr>
              <w:noProof/>
              <w:lang w:val="en-US"/>
            </w:rPr>
            <w:t xml:space="preserve"> </w:t>
          </w:r>
          <w:r w:rsidR="00110E45" w:rsidRPr="00110E45">
            <w:rPr>
              <w:noProof/>
              <w:lang w:val="en-US"/>
            </w:rPr>
            <w:t>(Fettke &amp; Reisig, 2020)</w:t>
          </w:r>
          <w:r w:rsidR="00D9686E" w:rsidRPr="00F32F95">
            <w:rPr>
              <w:lang w:val="en-GB"/>
            </w:rPr>
            <w:fldChar w:fldCharType="end"/>
          </w:r>
        </w:sdtContent>
      </w:sdt>
    </w:p>
    <w:p w14:paraId="37BAD844" w14:textId="4BF74B58" w:rsidR="00E27CBA" w:rsidRPr="00F32F95" w:rsidRDefault="007508ED" w:rsidP="00E27CBA">
      <w:pPr>
        <w:rPr>
          <w:lang w:val="en-GB"/>
        </w:rPr>
      </w:pPr>
      <w:r w:rsidRPr="00F32F95">
        <w:rPr>
          <w:lang w:val="en-GB"/>
        </w:rPr>
        <w:t>A distributed run is a causal petri net</w:t>
      </w:r>
      <w:r w:rsidR="00F02C4E" w:rsidRPr="00F32F95">
        <w:rPr>
          <w:lang w:val="en-GB"/>
        </w:rPr>
        <w:t>, contain</w:t>
      </w:r>
      <w:r w:rsidR="000752A1" w:rsidRPr="00F32F95">
        <w:rPr>
          <w:lang w:val="en-GB"/>
        </w:rPr>
        <w:t xml:space="preserve">ing one event </w:t>
      </w:r>
      <w:r w:rsidR="000752A1" w:rsidRPr="00016A8F">
        <w:rPr>
          <w:b/>
          <w:bCs/>
          <w:lang w:val="en-GB"/>
        </w:rPr>
        <w:t>and</w:t>
      </w:r>
      <w:r w:rsidR="000752A1" w:rsidRPr="00F32F95">
        <w:rPr>
          <w:lang w:val="en-GB"/>
        </w:rPr>
        <w:t xml:space="preserve"> its predicates for every transition that fired</w:t>
      </w:r>
      <w:r w:rsidR="007C08BD" w:rsidRPr="00F32F95">
        <w:rPr>
          <w:lang w:val="en-GB"/>
        </w:rPr>
        <w:t xml:space="preserve">. It </w:t>
      </w:r>
      <w:r w:rsidR="00D9686E" w:rsidRPr="00F32F95">
        <w:rPr>
          <w:lang w:val="en-GB"/>
        </w:rPr>
        <w:t xml:space="preserve">therefore </w:t>
      </w:r>
      <w:r w:rsidR="007C08BD" w:rsidRPr="00F32F95">
        <w:rPr>
          <w:lang w:val="en-GB"/>
        </w:rPr>
        <w:t>describes the occurrence of actions.</w:t>
      </w:r>
      <w:r w:rsidR="00FE27D6" w:rsidRPr="00F32F95">
        <w:rPr>
          <w:lang w:val="en-GB"/>
        </w:rPr>
        <w:t xml:space="preserve"> </w:t>
      </w:r>
      <w:sdt>
        <w:sdtPr>
          <w:rPr>
            <w:lang w:val="en-GB"/>
          </w:rPr>
          <w:id w:val="1631053014"/>
          <w:citation/>
        </w:sdtPr>
        <w:sdtEndPr/>
        <w:sdtContent>
          <w:r w:rsidR="007C08BD" w:rsidRPr="00F32F95">
            <w:rPr>
              <w:lang w:val="en-GB"/>
            </w:rPr>
            <w:fldChar w:fldCharType="begin"/>
          </w:r>
          <w:r w:rsidR="007C08BD" w:rsidRPr="00F32F95">
            <w:rPr>
              <w:lang w:val="en-GB"/>
            </w:rPr>
            <w:instrText xml:space="preserve"> CITATION Rei13 \l 1031 </w:instrText>
          </w:r>
          <w:r w:rsidR="007C08BD" w:rsidRPr="00F32F95">
            <w:rPr>
              <w:lang w:val="en-GB"/>
            </w:rPr>
            <w:fldChar w:fldCharType="separate"/>
          </w:r>
          <w:r w:rsidR="007C08BD" w:rsidRPr="00F32F95">
            <w:rPr>
              <w:noProof/>
              <w:lang w:val="en-GB"/>
            </w:rPr>
            <w:t>(Reisig, 2013)</w:t>
          </w:r>
          <w:r w:rsidR="007C08BD" w:rsidRPr="00F32F95">
            <w:rPr>
              <w:lang w:val="en-GB"/>
            </w:rPr>
            <w:fldChar w:fldCharType="end"/>
          </w:r>
        </w:sdtContent>
      </w:sdt>
      <w:r w:rsidR="007C08BD" w:rsidRPr="00F32F95">
        <w:rPr>
          <w:lang w:val="en-GB"/>
        </w:rPr>
        <w:t xml:space="preserve"> </w:t>
      </w:r>
    </w:p>
    <w:p w14:paraId="1470CF01" w14:textId="0D627E10" w:rsidR="00C41421" w:rsidRPr="00F32F95" w:rsidRDefault="00A85D6A" w:rsidP="00E27CBA">
      <w:pPr>
        <w:rPr>
          <w:lang w:val="en-GB"/>
        </w:rPr>
      </w:pPr>
      <w:r w:rsidRPr="00F32F95">
        <w:rPr>
          <w:lang w:val="en-GB"/>
        </w:rPr>
        <w:t xml:space="preserve">These features render </w:t>
      </w:r>
      <w:r w:rsidRPr="00F32F95">
        <w:rPr>
          <w:smallCaps/>
          <w:lang w:val="en-GB"/>
        </w:rPr>
        <w:t>Heraklit</w:t>
      </w:r>
      <w:r w:rsidRPr="00F32F95">
        <w:rPr>
          <w:lang w:val="en-GB"/>
        </w:rPr>
        <w:t xml:space="preserve"> an ideal toolset for modelling RPA-based process automation. The modular architecture allows for modelling complex systems of interdependent bots performing complex tasks.</w:t>
      </w:r>
      <w:r w:rsidR="00713416" w:rsidRPr="00F32F95">
        <w:rPr>
          <w:lang w:val="en-GB"/>
        </w:rPr>
        <w:t xml:space="preserve"> Using distributed runs</w:t>
      </w:r>
      <w:r w:rsidR="00522127" w:rsidRPr="00F32F95">
        <w:rPr>
          <w:lang w:val="en-GB"/>
        </w:rPr>
        <w:t>,</w:t>
      </w:r>
      <w:r w:rsidR="00713416" w:rsidRPr="00F32F95">
        <w:rPr>
          <w:lang w:val="en-GB"/>
        </w:rPr>
        <w:t xml:space="preserve"> it can be shown how information is </w:t>
      </w:r>
      <w:r w:rsidR="00713416" w:rsidRPr="006869BA">
        <w:rPr>
          <w:lang w:val="en-GB"/>
        </w:rPr>
        <w:t>processed</w:t>
      </w:r>
      <w:r w:rsidR="00713416" w:rsidRPr="00F32F95">
        <w:rPr>
          <w:lang w:val="en-GB"/>
        </w:rPr>
        <w:t xml:space="preserve"> and passed on by and between the bots. </w:t>
      </w:r>
      <w:r w:rsidR="00713416" w:rsidRPr="00F32F95">
        <w:rPr>
          <w:smallCaps/>
          <w:lang w:val="en-GB"/>
        </w:rPr>
        <w:t>Heraklit</w:t>
      </w:r>
      <w:r w:rsidR="00713416" w:rsidRPr="00F32F95">
        <w:rPr>
          <w:lang w:val="en-GB"/>
        </w:rPr>
        <w:t xml:space="preserve"> will be used in the context of a design-oriented research approach.</w:t>
      </w:r>
      <w:r w:rsidR="002A28DA" w:rsidRPr="00F32F95">
        <w:rPr>
          <w:lang w:val="en-GB"/>
        </w:rPr>
        <w:t xml:space="preserve"> It is employed to describe the information architecture and the dynamic of transforming information objects in a precise way.</w:t>
      </w:r>
      <w:r w:rsidR="00240499" w:rsidRPr="00F32F95">
        <w:rPr>
          <w:rStyle w:val="Funotenzeichen"/>
          <w:lang w:val="en-GB"/>
        </w:rPr>
        <w:footnoteReference w:id="2"/>
      </w:r>
    </w:p>
    <w:p w14:paraId="1F9AA797" w14:textId="23D21B03" w:rsidR="00781BFA" w:rsidRPr="00F32F95" w:rsidRDefault="00781BFA" w:rsidP="00781BFA">
      <w:pPr>
        <w:pStyle w:val="berschrift1"/>
        <w:keepLines/>
        <w:numPr>
          <w:ilvl w:val="0"/>
          <w:numId w:val="28"/>
        </w:numPr>
        <w:spacing w:before="240" w:after="0"/>
        <w:rPr>
          <w:rFonts w:cs="Times New Roman"/>
          <w:lang w:val="en-GB"/>
        </w:rPr>
      </w:pPr>
      <w:r w:rsidRPr="00F32F95">
        <w:rPr>
          <w:lang w:val="en-GB"/>
        </w:rPr>
        <w:lastRenderedPageBreak/>
        <w:t xml:space="preserve">Case Example: VAT, </w:t>
      </w:r>
      <w:r w:rsidRPr="00F32F95">
        <w:rPr>
          <w:rFonts w:cs="Times New Roman"/>
          <w:smallCaps/>
          <w:lang w:val="en-GB"/>
        </w:rPr>
        <w:t>Heraklit</w:t>
      </w:r>
      <w:r w:rsidRPr="00F32F95" w:rsidDel="00E072D7">
        <w:rPr>
          <w:rFonts w:cs="Times New Roman"/>
          <w:smallCaps/>
          <w:lang w:val="en-GB"/>
        </w:rPr>
        <w:t xml:space="preserve"> </w:t>
      </w:r>
      <w:r w:rsidRPr="00F32F95">
        <w:rPr>
          <w:rFonts w:cs="Times New Roman"/>
          <w:lang w:val="en-GB"/>
        </w:rPr>
        <w:t>-Model</w:t>
      </w:r>
    </w:p>
    <w:p w14:paraId="0B1C06E7" w14:textId="77777777" w:rsidR="00781BFA" w:rsidRPr="00F32F95" w:rsidRDefault="00781BFA" w:rsidP="00781BFA">
      <w:pPr>
        <w:pStyle w:val="berschrift2"/>
        <w:keepLines/>
        <w:numPr>
          <w:ilvl w:val="1"/>
          <w:numId w:val="28"/>
        </w:numPr>
        <w:spacing w:before="40" w:after="0"/>
        <w:rPr>
          <w:rFonts w:cs="Times New Roman"/>
          <w:lang w:val="en-GB"/>
        </w:rPr>
      </w:pPr>
      <w:r w:rsidRPr="00F32F95">
        <w:rPr>
          <w:lang w:val="en-GB"/>
        </w:rPr>
        <w:t>VAT-Compliance in Intra-Community Supplies</w:t>
      </w:r>
    </w:p>
    <w:p w14:paraId="4D41847D" w14:textId="77777777" w:rsidR="00781BFA" w:rsidRPr="0002155D" w:rsidRDefault="00781BFA" w:rsidP="00781BFA">
      <w:pPr>
        <w:rPr>
          <w:rFonts w:asciiTheme="minorHAnsi" w:hAnsiTheme="minorHAnsi" w:cs="Times New Roman"/>
          <w:lang w:val="en-GB"/>
        </w:rPr>
      </w:pPr>
      <w:r w:rsidRPr="00F32F95">
        <w:rPr>
          <w:rFonts w:cs="Times New Roman"/>
          <w:lang w:val="en-GB"/>
        </w:rPr>
        <w:t>Intra-Community supplies can be exempted from VAT, according to Art. 138 VAT-Directive (2006/112/EC)</w:t>
      </w:r>
      <w:r w:rsidRPr="00F32F95">
        <w:rPr>
          <w:rStyle w:val="Funotenzeichen"/>
          <w:rFonts w:cs="Times New Roman"/>
          <w:lang w:val="en-GB"/>
        </w:rPr>
        <w:footnoteReference w:id="3"/>
      </w:r>
      <w:r w:rsidRPr="00F32F95">
        <w:rPr>
          <w:rFonts w:cs="Times New Roman"/>
          <w:lang w:val="en-GB"/>
        </w:rPr>
        <w:t>. Depending on the perspective, intra-community deliveries and intra-community-acquisitions are differentiated.</w:t>
      </w:r>
      <w:r w:rsidRPr="00F32F95">
        <w:rPr>
          <w:rStyle w:val="Funotenzeichen"/>
          <w:rFonts w:cs="Times New Roman"/>
          <w:lang w:val="en-GB"/>
        </w:rPr>
        <w:footnoteReference w:id="4"/>
      </w:r>
      <w:r w:rsidRPr="00F32F95">
        <w:rPr>
          <w:rFonts w:cs="Times New Roman"/>
          <w:lang w:val="en-GB"/>
        </w:rPr>
        <w:t xml:space="preserve"> In simplified terms</w:t>
      </w:r>
      <w:r w:rsidRPr="0002155D">
        <w:rPr>
          <w:rFonts w:cs="Times New Roman"/>
          <w:lang w:val="en-GB"/>
        </w:rPr>
        <w:t>, the entrepreneur making the supply must fulfil three conditions to qualify for exemption: Confirmation of the actual transport, determination of the entrepreneur status</w:t>
      </w:r>
      <w:r>
        <w:rPr>
          <w:rFonts w:cs="Times New Roman"/>
          <w:lang w:val="en-GB"/>
        </w:rPr>
        <w:t>,</w:t>
      </w:r>
      <w:r w:rsidRPr="0002155D">
        <w:rPr>
          <w:rFonts w:cs="Times New Roman"/>
          <w:lang w:val="en-GB"/>
        </w:rPr>
        <w:t xml:space="preserve"> and the receiving goods are subject to VAT </w:t>
      </w:r>
      <w:sdt>
        <w:sdtPr>
          <w:rPr>
            <w:rFonts w:cs="Times New Roman"/>
            <w:lang w:val="en-GB"/>
          </w:rPr>
          <w:id w:val="-42219115"/>
          <w:placeholder>
            <w:docPart w:val="269B827011394CB7AE6450E681B66DA6"/>
          </w:placeholder>
          <w:citation/>
        </w:sdtPr>
        <w:sdtEndPr/>
        <w:sdtContent>
          <w:r w:rsidRPr="0002155D">
            <w:rPr>
              <w:rFonts w:cs="Times New Roman"/>
              <w:lang w:val="en-GB"/>
            </w:rPr>
            <w:fldChar w:fldCharType="begin"/>
          </w:r>
          <w:r>
            <w:rPr>
              <w:rFonts w:cs="Times New Roman"/>
              <w:lang w:val="en-GB"/>
            </w:rPr>
            <w:instrText xml:space="preserve">CITATION Ama16 \p 98 \l 1031 </w:instrText>
          </w:r>
          <w:r w:rsidRPr="0002155D">
            <w:rPr>
              <w:rFonts w:cs="Times New Roman"/>
              <w:lang w:val="en-GB"/>
            </w:rPr>
            <w:fldChar w:fldCharType="separate"/>
          </w:r>
          <w:r w:rsidRPr="006915D2">
            <w:rPr>
              <w:rFonts w:cs="Times New Roman"/>
              <w:noProof/>
              <w:lang w:val="en-GB"/>
            </w:rPr>
            <w:t>(Amand, 2016, S. 98)</w:t>
          </w:r>
          <w:r w:rsidRPr="0002155D">
            <w:rPr>
              <w:rFonts w:cs="Times New Roman"/>
              <w:lang w:val="en-GB"/>
            </w:rPr>
            <w:fldChar w:fldCharType="end"/>
          </w:r>
        </w:sdtContent>
      </w:sdt>
      <w:r w:rsidRPr="0002155D">
        <w:rPr>
          <w:rFonts w:cs="Times New Roman"/>
          <w:lang w:val="en-GB"/>
        </w:rPr>
        <w:t>.</w:t>
      </w:r>
    </w:p>
    <w:p w14:paraId="65848E91" w14:textId="46B931DB" w:rsidR="00781BFA" w:rsidRPr="0002155D" w:rsidRDefault="00781BFA" w:rsidP="00781BFA">
      <w:pPr>
        <w:rPr>
          <w:rFonts w:asciiTheme="minorHAnsi" w:hAnsiTheme="minorHAnsi" w:cs="Times New Roman"/>
          <w:lang w:val="en-GB"/>
        </w:rPr>
      </w:pPr>
      <w:r w:rsidRPr="0002155D">
        <w:rPr>
          <w:rFonts w:cs="Times New Roman"/>
          <w:lang w:val="en-GB"/>
        </w:rPr>
        <w:t>Intra-Community supplies may involve two parties, but they get significantly more complex when several companies are involved. In a chain transaction</w:t>
      </w:r>
      <w:r>
        <w:rPr>
          <w:rFonts w:cs="Times New Roman"/>
          <w:lang w:val="en-GB"/>
        </w:rPr>
        <w:t>,</w:t>
      </w:r>
      <w:r w:rsidRPr="0002155D">
        <w:rPr>
          <w:rFonts w:cs="Times New Roman"/>
          <w:lang w:val="en-GB"/>
        </w:rPr>
        <w:t xml:space="preserve"> for example, the supply is only physically moved between two parties, but the financial transaction is between at least three parties. </w:t>
      </w:r>
      <w:sdt>
        <w:sdtPr>
          <w:rPr>
            <w:rFonts w:cs="Times New Roman"/>
            <w:lang w:val="en-GB"/>
          </w:rPr>
          <w:id w:val="-1685743771"/>
          <w:placeholder>
            <w:docPart w:val="269B827011394CB7AE6450E681B66DA6"/>
          </w:placeholder>
          <w:citation/>
        </w:sdtPr>
        <w:sdtEndPr/>
        <w:sdtContent>
          <w:r w:rsidRPr="0002155D">
            <w:rPr>
              <w:rFonts w:cs="Times New Roman"/>
              <w:lang w:val="en-GB"/>
            </w:rPr>
            <w:fldChar w:fldCharType="begin"/>
          </w:r>
          <w:r>
            <w:rPr>
              <w:rFonts w:cs="Times New Roman"/>
              <w:lang w:val="en-GB"/>
            </w:rPr>
            <w:instrText xml:space="preserve">CITATION Die18 \l 1031 </w:instrText>
          </w:r>
          <w:r w:rsidRPr="0002155D">
            <w:rPr>
              <w:rFonts w:cs="Times New Roman"/>
              <w:lang w:val="en-GB"/>
            </w:rPr>
            <w:fldChar w:fldCharType="separate"/>
          </w:r>
          <w:r w:rsidRPr="006915D2">
            <w:rPr>
              <w:rFonts w:cs="Times New Roman"/>
              <w:noProof/>
              <w:lang w:val="en-GB"/>
            </w:rPr>
            <w:t>(Dietsch, 2018)</w:t>
          </w:r>
          <w:r w:rsidRPr="0002155D">
            <w:rPr>
              <w:rFonts w:cs="Times New Roman"/>
              <w:lang w:val="en-GB"/>
            </w:rPr>
            <w:fldChar w:fldCharType="end"/>
          </w:r>
        </w:sdtContent>
      </w:sdt>
      <w:r w:rsidRPr="0002155D">
        <w:rPr>
          <w:rFonts w:cs="Times New Roman"/>
          <w:lang w:val="en-GB"/>
        </w:rPr>
        <w:t xml:space="preserve"> For simplicity reasons, this chapter covers only intra-community supplies between two parties.</w:t>
      </w:r>
    </w:p>
    <w:p w14:paraId="295E44BE" w14:textId="02409910" w:rsidR="00781BFA" w:rsidRPr="0002155D" w:rsidRDefault="00781BFA" w:rsidP="00781BFA">
      <w:pPr>
        <w:keepNext/>
        <w:rPr>
          <w:lang w:val="en-GB"/>
        </w:rPr>
      </w:pPr>
      <w:r>
        <w:rPr>
          <w:noProof/>
        </w:rPr>
        <w:drawing>
          <wp:inline distT="0" distB="0" distL="0" distR="0" wp14:anchorId="56F23B80" wp14:editId="48BA2866">
            <wp:extent cx="3276000" cy="2042129"/>
            <wp:effectExtent l="0" t="0" r="63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rotWithShape="1">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rcRect l="5074" t="3797" r="3079" b="6235"/>
                    <a:stretch/>
                  </pic:blipFill>
                  <pic:spPr bwMode="auto">
                    <a:xfrm>
                      <a:off x="0" y="0"/>
                      <a:ext cx="3276000" cy="2042129"/>
                    </a:xfrm>
                    <a:prstGeom prst="rect">
                      <a:avLst/>
                    </a:prstGeom>
                    <a:ln>
                      <a:noFill/>
                    </a:ln>
                    <a:extLst>
                      <a:ext uri="{53640926-AAD7-44D8-BBD7-CCE9431645EC}">
                        <a14:shadowObscured xmlns:a14="http://schemas.microsoft.com/office/drawing/2010/main"/>
                      </a:ext>
                    </a:extLst>
                  </pic:spPr>
                </pic:pic>
              </a:graphicData>
            </a:graphic>
          </wp:inline>
        </w:drawing>
      </w:r>
    </w:p>
    <w:p w14:paraId="207FEE5D" w14:textId="25917295" w:rsidR="00781BFA" w:rsidRPr="0002155D" w:rsidRDefault="00781BFA" w:rsidP="00781BFA">
      <w:pPr>
        <w:pStyle w:val="Beschriftung"/>
        <w:rPr>
          <w:rFonts w:cs="Times New Roman"/>
          <w:lang w:val="en-GB"/>
        </w:rPr>
      </w:pPr>
      <w:r w:rsidRPr="0002155D">
        <w:rPr>
          <w:lang w:val="en-GB"/>
        </w:rPr>
        <w:t xml:space="preserve">Figure </w:t>
      </w:r>
      <w:r w:rsidRPr="0002155D">
        <w:rPr>
          <w:lang w:val="en-GB"/>
        </w:rPr>
        <w:fldChar w:fldCharType="begin"/>
      </w:r>
      <w:r w:rsidRPr="0002155D">
        <w:rPr>
          <w:lang w:val="en-GB"/>
        </w:rPr>
        <w:instrText xml:space="preserve"> SEQ Figure \* ARABIC </w:instrText>
      </w:r>
      <w:r w:rsidRPr="0002155D">
        <w:rPr>
          <w:lang w:val="en-GB"/>
        </w:rPr>
        <w:fldChar w:fldCharType="separate"/>
      </w:r>
      <w:r w:rsidR="00D53826">
        <w:rPr>
          <w:noProof/>
          <w:lang w:val="en-GB"/>
        </w:rPr>
        <w:t>1</w:t>
      </w:r>
      <w:r w:rsidRPr="0002155D">
        <w:rPr>
          <w:lang w:val="en-GB"/>
        </w:rPr>
        <w:fldChar w:fldCharType="end"/>
      </w:r>
      <w:r w:rsidRPr="0002155D">
        <w:rPr>
          <w:lang w:val="en-GB"/>
        </w:rPr>
        <w:t>: Module composition with legal experts</w:t>
      </w:r>
    </w:p>
    <w:p w14:paraId="66E8283F" w14:textId="0771A519" w:rsidR="00781BFA" w:rsidRPr="0002155D" w:rsidRDefault="00781BFA" w:rsidP="00781BFA">
      <w:pPr>
        <w:rPr>
          <w:rFonts w:cs="Times New Roman"/>
          <w:lang w:val="en-GB"/>
        </w:rPr>
      </w:pPr>
      <w:r w:rsidRPr="0002155D">
        <w:rPr>
          <w:rFonts w:cs="Times New Roman"/>
          <w:lang w:val="en-GB"/>
        </w:rPr>
        <w:t>The high amount of value</w:t>
      </w:r>
      <w:r>
        <w:rPr>
          <w:rFonts w:cs="Times New Roman"/>
          <w:lang w:val="en-GB"/>
        </w:rPr>
        <w:t>-</w:t>
      </w:r>
      <w:r w:rsidRPr="0002155D">
        <w:rPr>
          <w:rFonts w:cs="Times New Roman"/>
          <w:lang w:val="en-GB"/>
        </w:rPr>
        <w:t xml:space="preserve">added tax poses a substantial risk for entrepreneurs if </w:t>
      </w:r>
      <w:r>
        <w:rPr>
          <w:rFonts w:cs="Times New Roman"/>
          <w:lang w:val="en-GB"/>
        </w:rPr>
        <w:t>misjudged</w:t>
      </w:r>
      <w:r w:rsidRPr="0002155D">
        <w:rPr>
          <w:rFonts w:cs="Times New Roman"/>
          <w:lang w:val="en-GB"/>
        </w:rPr>
        <w:t xml:space="preserve">. In </w:t>
      </w:r>
      <w:r>
        <w:rPr>
          <w:rFonts w:cs="Times New Roman"/>
          <w:lang w:val="en-GB"/>
        </w:rPr>
        <w:t>A</w:t>
      </w:r>
      <w:r w:rsidRPr="0002155D">
        <w:rPr>
          <w:rFonts w:cs="Times New Roman"/>
          <w:lang w:val="en-GB"/>
        </w:rPr>
        <w:t xml:space="preserve">ddition, an intra-community supply can be revoked </w:t>
      </w:r>
      <w:r w:rsidRPr="0002155D">
        <w:rPr>
          <w:rFonts w:cs="Times New Roman"/>
          <w:lang w:val="en-GB"/>
        </w:rPr>
        <w:lastRenderedPageBreak/>
        <w:t>by the cause of missing or incomplete documentation. This is especially challenging for small and medium companies with non-regular transactions to unknown recipients. For these reasons, the intra-community supply plays well as a candidate for Robotic Process Automation: high volume, standardised process, well</w:t>
      </w:r>
      <w:r>
        <w:rPr>
          <w:rFonts w:cs="Times New Roman"/>
          <w:lang w:val="en-GB"/>
        </w:rPr>
        <w:t>-</w:t>
      </w:r>
      <w:r w:rsidRPr="0002155D">
        <w:rPr>
          <w:rFonts w:cs="Times New Roman"/>
          <w:lang w:val="en-GB"/>
        </w:rPr>
        <w:t>described decision rules and need for precise documentation.</w:t>
      </w:r>
    </w:p>
    <w:p w14:paraId="735CD725" w14:textId="3681714D" w:rsidR="00781BFA" w:rsidRPr="00F32F95" w:rsidRDefault="00781BFA" w:rsidP="00781BFA">
      <w:pPr>
        <w:rPr>
          <w:rFonts w:cs="Times New Roman"/>
          <w:lang w:val="en-GB"/>
        </w:rPr>
      </w:pPr>
      <w:r w:rsidRPr="0002155D">
        <w:rPr>
          <w:rFonts w:cs="Times New Roman"/>
          <w:lang w:val="en-GB"/>
        </w:rPr>
        <w:t xml:space="preserve">In the following, the status quo of the verification process as it is usually performed by legal experts is shown. The process can be broken down into four categories of verification steps and </w:t>
      </w:r>
      <w:r>
        <w:rPr>
          <w:rFonts w:cs="Times New Roman"/>
          <w:lang w:val="en-GB"/>
        </w:rPr>
        <w:t xml:space="preserve">the </w:t>
      </w:r>
      <w:r w:rsidRPr="0002155D">
        <w:rPr>
          <w:rFonts w:cs="Times New Roman"/>
          <w:lang w:val="en-GB"/>
        </w:rPr>
        <w:t xml:space="preserve">final consolidation of the individual results. The verification steps themselves are executed by a legal expert in an arbitrary sequential order. The documentation of a legal </w:t>
      </w:r>
      <w:r w:rsidRPr="00F32F95">
        <w:rPr>
          <w:rFonts w:cs="Times New Roman"/>
          <w:lang w:val="en-GB"/>
        </w:rPr>
        <w:t xml:space="preserve">assessment, on the other hand, always follows a strict order to make it more readable for others. </w:t>
      </w:r>
      <w:r w:rsidR="003B1D63" w:rsidRPr="00F32F95">
        <w:rPr>
          <w:rFonts w:cs="Times New Roman"/>
          <w:lang w:val="en-GB"/>
        </w:rPr>
        <w:t>To model this process, we therefor differentiate between</w:t>
      </w:r>
      <w:r w:rsidR="00D87136" w:rsidRPr="00F32F95">
        <w:rPr>
          <w:rFonts w:cs="Times New Roman"/>
          <w:lang w:val="en-GB"/>
        </w:rPr>
        <w:t xml:space="preserve"> six different modules. The arbitrary sequential working order of the legal expert is</w:t>
      </w:r>
      <w:r w:rsidR="00E85270" w:rsidRPr="00F32F95">
        <w:rPr>
          <w:rFonts w:cs="Times New Roman"/>
          <w:lang w:val="en-GB"/>
        </w:rPr>
        <w:t xml:space="preserve"> show in the module “legal experts”</w:t>
      </w:r>
      <w:r w:rsidR="00672D4E" w:rsidRPr="00F32F95">
        <w:rPr>
          <w:rFonts w:cs="Times New Roman"/>
          <w:lang w:val="en-GB"/>
        </w:rPr>
        <w:t xml:space="preserve"> (figure 2). </w:t>
      </w:r>
      <w:r w:rsidR="00A71EBA" w:rsidRPr="00F32F95">
        <w:rPr>
          <w:rFonts w:cs="Times New Roman"/>
          <w:lang w:val="en-GB"/>
        </w:rPr>
        <w:t xml:space="preserve">The module </w:t>
      </w:r>
      <w:r w:rsidR="00BE4A52" w:rsidRPr="00F32F95">
        <w:rPr>
          <w:rFonts w:cs="Times New Roman"/>
          <w:lang w:val="en-GB"/>
        </w:rPr>
        <w:t>“Merge Verification Results” takes the individual re</w:t>
      </w:r>
      <w:r w:rsidR="008F2CEA">
        <w:rPr>
          <w:rFonts w:cs="Times New Roman"/>
          <w:lang w:val="en-GB"/>
        </w:rPr>
        <w:t>s</w:t>
      </w:r>
      <w:r w:rsidR="00BE4A52" w:rsidRPr="00F32F95">
        <w:rPr>
          <w:rFonts w:cs="Times New Roman"/>
          <w:lang w:val="en-GB"/>
        </w:rPr>
        <w:t xml:space="preserve">ults and merges them sequentially </w:t>
      </w:r>
      <w:r w:rsidR="00405C86" w:rsidRPr="00F32F95">
        <w:rPr>
          <w:rFonts w:cs="Times New Roman"/>
          <w:lang w:val="en-GB"/>
        </w:rPr>
        <w:t xml:space="preserve">according to the legal best practice (figure 3). Whereas the remaining four modules are used to categorise the </w:t>
      </w:r>
      <w:r w:rsidR="003C1E4D" w:rsidRPr="00F32F95">
        <w:rPr>
          <w:rFonts w:cs="Times New Roman"/>
          <w:lang w:val="en-GB"/>
        </w:rPr>
        <w:t xml:space="preserve">verification tasks. They do not contain any dynamic </w:t>
      </w:r>
      <w:r w:rsidR="00913C03" w:rsidRPr="00F32F95">
        <w:rPr>
          <w:rFonts w:cs="Times New Roman"/>
          <w:lang w:val="en-GB"/>
        </w:rPr>
        <w:t xml:space="preserve">behaviour but simply pass </w:t>
      </w:r>
      <w:r w:rsidR="00FC3C76" w:rsidRPr="00F32F95">
        <w:rPr>
          <w:rFonts w:cs="Times New Roman"/>
          <w:lang w:val="en-GB"/>
        </w:rPr>
        <w:t xml:space="preserve">the result from the left interface of the module to the right interface. </w:t>
      </w:r>
      <w:r w:rsidRPr="00F32F95">
        <w:rPr>
          <w:rFonts w:cs="Times New Roman"/>
          <w:lang w:val="en-GB"/>
        </w:rPr>
        <w:t>The composition of the</w:t>
      </w:r>
      <w:r w:rsidR="00FC3C76" w:rsidRPr="00F32F95">
        <w:rPr>
          <w:rFonts w:cs="Times New Roman"/>
          <w:lang w:val="en-GB"/>
        </w:rPr>
        <w:t>se</w:t>
      </w:r>
      <w:r w:rsidRPr="00F32F95">
        <w:rPr>
          <w:rFonts w:cs="Times New Roman"/>
          <w:lang w:val="en-GB"/>
        </w:rPr>
        <w:t xml:space="preserve"> modules is shown in Figure 1</w:t>
      </w:r>
      <w:r w:rsidR="00FC3C76" w:rsidRPr="00F32F95">
        <w:rPr>
          <w:rFonts w:cs="Times New Roman"/>
          <w:lang w:val="en-GB"/>
        </w:rPr>
        <w:t>.</w:t>
      </w:r>
    </w:p>
    <w:p w14:paraId="4BB6939D" w14:textId="24B902D4" w:rsidR="00781BFA" w:rsidRPr="0002155D" w:rsidRDefault="000670E5" w:rsidP="00781BFA">
      <w:pPr>
        <w:keepNext/>
        <w:rPr>
          <w:lang w:val="en-GB"/>
        </w:rPr>
      </w:pPr>
      <w:r>
        <w:rPr>
          <w:noProof/>
          <w:lang w:val="en-GB"/>
        </w:rPr>
        <w:lastRenderedPageBreak/>
        <w:drawing>
          <wp:inline distT="0" distB="0" distL="0" distR="0" wp14:anchorId="68AE4572" wp14:editId="07B364D2">
            <wp:extent cx="4018829" cy="5877996"/>
            <wp:effectExtent l="0" t="0" r="127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t="817" b="6611"/>
                    <a:stretch/>
                  </pic:blipFill>
                  <pic:spPr bwMode="auto">
                    <a:xfrm>
                      <a:off x="0" y="0"/>
                      <a:ext cx="4036375" cy="5903660"/>
                    </a:xfrm>
                    <a:prstGeom prst="rect">
                      <a:avLst/>
                    </a:prstGeom>
                    <a:ln>
                      <a:noFill/>
                    </a:ln>
                    <a:extLst>
                      <a:ext uri="{53640926-AAD7-44D8-BBD7-CCE9431645EC}">
                        <a14:shadowObscured xmlns:a14="http://schemas.microsoft.com/office/drawing/2010/main"/>
                      </a:ext>
                    </a:extLst>
                  </pic:spPr>
                </pic:pic>
              </a:graphicData>
            </a:graphic>
          </wp:inline>
        </w:drawing>
      </w:r>
    </w:p>
    <w:p w14:paraId="3649BA8A" w14:textId="4E2164C5" w:rsidR="00781BFA" w:rsidRPr="0002155D" w:rsidRDefault="00781BFA" w:rsidP="00781BFA">
      <w:pPr>
        <w:pStyle w:val="Beschriftung"/>
        <w:rPr>
          <w:rFonts w:cs="Times New Roman"/>
          <w:lang w:val="en-GB"/>
        </w:rPr>
      </w:pPr>
      <w:r w:rsidRPr="0002155D">
        <w:rPr>
          <w:lang w:val="en-GB"/>
        </w:rPr>
        <w:t xml:space="preserve">Figure </w:t>
      </w:r>
      <w:r w:rsidRPr="0002155D">
        <w:rPr>
          <w:lang w:val="en-GB"/>
        </w:rPr>
        <w:fldChar w:fldCharType="begin"/>
      </w:r>
      <w:r w:rsidRPr="0002155D">
        <w:rPr>
          <w:lang w:val="en-GB"/>
        </w:rPr>
        <w:instrText xml:space="preserve"> SEQ Figure \* ARABIC </w:instrText>
      </w:r>
      <w:r w:rsidRPr="0002155D">
        <w:rPr>
          <w:lang w:val="en-GB"/>
        </w:rPr>
        <w:fldChar w:fldCharType="separate"/>
      </w:r>
      <w:r w:rsidR="00D53826">
        <w:rPr>
          <w:noProof/>
          <w:lang w:val="en-GB"/>
        </w:rPr>
        <w:t>2</w:t>
      </w:r>
      <w:r w:rsidRPr="0002155D">
        <w:rPr>
          <w:lang w:val="en-GB"/>
        </w:rPr>
        <w:fldChar w:fldCharType="end"/>
      </w:r>
      <w:r w:rsidRPr="0002155D">
        <w:rPr>
          <w:lang w:val="en-GB"/>
        </w:rPr>
        <w:t>: Module Legal expert</w:t>
      </w:r>
      <w:r w:rsidR="00E45985">
        <w:rPr>
          <w:lang w:val="en-GB"/>
        </w:rPr>
        <w:t>s</w:t>
      </w:r>
      <w:r w:rsidRPr="0002155D">
        <w:rPr>
          <w:lang w:val="en-GB"/>
        </w:rPr>
        <w:t xml:space="preserve"> with </w:t>
      </w:r>
      <w:r w:rsidR="00E45985">
        <w:rPr>
          <w:lang w:val="en-GB"/>
        </w:rPr>
        <w:t xml:space="preserve">inner dynamics of </w:t>
      </w:r>
      <w:r w:rsidRPr="0002155D">
        <w:rPr>
          <w:lang w:val="en-GB"/>
        </w:rPr>
        <w:t>verif</w:t>
      </w:r>
      <w:r>
        <w:rPr>
          <w:lang w:val="en-GB"/>
        </w:rPr>
        <w:t>i</w:t>
      </w:r>
      <w:r w:rsidRPr="0002155D">
        <w:rPr>
          <w:lang w:val="en-GB"/>
        </w:rPr>
        <w:t>cation steps</w:t>
      </w:r>
    </w:p>
    <w:p w14:paraId="16618C3A" w14:textId="28591C0D" w:rsidR="00D607A0" w:rsidRDefault="00D607A0" w:rsidP="00781BFA">
      <w:pPr>
        <w:rPr>
          <w:rFonts w:cs="Times New Roman"/>
          <w:lang w:val="en-GB"/>
        </w:rPr>
      </w:pPr>
      <w:r>
        <w:rPr>
          <w:rFonts w:cs="Times New Roman"/>
          <w:noProof/>
          <w:lang w:val="en-GB"/>
        </w:rPr>
        <w:lastRenderedPageBreak/>
        <w:drawing>
          <wp:inline distT="0" distB="0" distL="0" distR="0" wp14:anchorId="7D95F3EA" wp14:editId="4DC5FF04">
            <wp:extent cx="6277354" cy="3388995"/>
            <wp:effectExtent l="0" t="3810" r="5715" b="571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rot="5400000">
                      <a:off x="0" y="0"/>
                      <a:ext cx="6282238" cy="3391632"/>
                    </a:xfrm>
                    <a:prstGeom prst="rect">
                      <a:avLst/>
                    </a:prstGeom>
                  </pic:spPr>
                </pic:pic>
              </a:graphicData>
            </a:graphic>
          </wp:inline>
        </w:drawing>
      </w:r>
    </w:p>
    <w:p w14:paraId="34BFC5D6" w14:textId="59EED653" w:rsidR="00D70CC9" w:rsidRPr="0002155D" w:rsidRDefault="00D70CC9" w:rsidP="00D70CC9">
      <w:pPr>
        <w:pStyle w:val="Beschriftung"/>
        <w:rPr>
          <w:lang w:val="en-GB"/>
        </w:rPr>
      </w:pPr>
      <w:r w:rsidRPr="0002155D">
        <w:rPr>
          <w:lang w:val="en-GB"/>
        </w:rPr>
        <w:t xml:space="preserve">Figure </w:t>
      </w:r>
      <w:r w:rsidRPr="0002155D">
        <w:rPr>
          <w:lang w:val="en-GB"/>
        </w:rPr>
        <w:fldChar w:fldCharType="begin"/>
      </w:r>
      <w:r w:rsidRPr="0002155D">
        <w:rPr>
          <w:lang w:val="en-GB"/>
        </w:rPr>
        <w:instrText xml:space="preserve"> SEQ Figure \* ARABIC </w:instrText>
      </w:r>
      <w:r w:rsidRPr="0002155D">
        <w:rPr>
          <w:lang w:val="en-GB"/>
        </w:rPr>
        <w:fldChar w:fldCharType="separate"/>
      </w:r>
      <w:r w:rsidR="00D53826">
        <w:rPr>
          <w:noProof/>
          <w:lang w:val="en-GB"/>
        </w:rPr>
        <w:t>3</w:t>
      </w:r>
      <w:r w:rsidRPr="0002155D">
        <w:rPr>
          <w:lang w:val="en-GB"/>
        </w:rPr>
        <w:fldChar w:fldCharType="end"/>
      </w:r>
      <w:r w:rsidRPr="0002155D">
        <w:rPr>
          <w:lang w:val="en-GB"/>
        </w:rPr>
        <w:t>: Sequential Merging of results for the documentation</w:t>
      </w:r>
      <w:r w:rsidR="00136C4A">
        <w:rPr>
          <w:lang w:val="en-GB"/>
        </w:rPr>
        <w:t xml:space="preserve"> (</w:t>
      </w:r>
      <w:r w:rsidR="00136C4A" w:rsidRPr="00936DDB">
        <w:rPr>
          <w:lang w:val="en-GB"/>
        </w:rPr>
        <w:t xml:space="preserve">2 and </w:t>
      </w:r>
      <w:r w:rsidR="00136C4A">
        <w:rPr>
          <w:lang w:val="en-GB"/>
        </w:rPr>
        <w:t>4 are used as abbreviations for “to” and “for” respectively. Furthermore, B is the abbreviation for “business”)</w:t>
      </w:r>
    </w:p>
    <w:p w14:paraId="417D3B36" w14:textId="671D9072" w:rsidR="00781BFA" w:rsidRPr="0088475B" w:rsidRDefault="00781BFA" w:rsidP="0088475B">
      <w:pPr>
        <w:rPr>
          <w:rFonts w:cs="Times New Roman"/>
          <w:lang w:val="en-GB"/>
        </w:rPr>
      </w:pPr>
      <w:r w:rsidRPr="0002155D">
        <w:rPr>
          <w:rFonts w:cs="Times New Roman"/>
          <w:lang w:val="en-GB"/>
        </w:rPr>
        <w:lastRenderedPageBreak/>
        <w:t>Although this approach is directly transferable to a bot-based assessment, there are several arguments to split this task into several independent verifications</w:t>
      </w:r>
      <w:r>
        <w:rPr>
          <w:rFonts w:cs="Times New Roman"/>
          <w:lang w:val="en-GB"/>
        </w:rPr>
        <w:t>. B</w:t>
      </w:r>
      <w:r w:rsidRPr="0002155D">
        <w:rPr>
          <w:rFonts w:cs="Times New Roman"/>
          <w:lang w:val="en-GB"/>
        </w:rPr>
        <w:t xml:space="preserve">y reducing the scope of one bot to a smaller process chunk, the maintainability of the systems is increased. This </w:t>
      </w:r>
      <w:r>
        <w:rPr>
          <w:rFonts w:cs="Times New Roman"/>
          <w:lang w:val="en-GB"/>
        </w:rPr>
        <w:t>modularisation concept</w:t>
      </w:r>
      <w:r w:rsidRPr="0002155D">
        <w:rPr>
          <w:rFonts w:cs="Times New Roman"/>
          <w:lang w:val="en-GB"/>
        </w:rPr>
        <w:t xml:space="preserve"> (or micro-services) is well established in software development</w:t>
      </w:r>
      <w:sdt>
        <w:sdtPr>
          <w:rPr>
            <w:rFonts w:cs="Times New Roman"/>
            <w:lang w:val="en-GB"/>
          </w:rPr>
          <w:id w:val="-912156857"/>
          <w:citation/>
        </w:sdtPr>
        <w:sdtEndPr/>
        <w:sdtContent>
          <w:r w:rsidRPr="0002155D">
            <w:rPr>
              <w:rFonts w:cs="Times New Roman"/>
              <w:lang w:val="en-GB"/>
            </w:rPr>
            <w:fldChar w:fldCharType="begin"/>
          </w:r>
          <w:r w:rsidRPr="0002155D">
            <w:rPr>
              <w:rFonts w:cs="Times New Roman"/>
              <w:lang w:val="en-GB"/>
            </w:rPr>
            <w:instrText xml:space="preserve"> CITATION van08 \l 1031 </w:instrText>
          </w:r>
          <w:r w:rsidRPr="0002155D">
            <w:rPr>
              <w:rFonts w:cs="Times New Roman"/>
              <w:lang w:val="en-GB"/>
            </w:rPr>
            <w:fldChar w:fldCharType="separate"/>
          </w:r>
          <w:r w:rsidRPr="0002155D">
            <w:rPr>
              <w:rFonts w:cs="Times New Roman"/>
              <w:noProof/>
              <w:lang w:val="en-GB"/>
            </w:rPr>
            <w:t xml:space="preserve"> (van Vliet, 2008)</w:t>
          </w:r>
          <w:r w:rsidRPr="0002155D">
            <w:rPr>
              <w:rFonts w:cs="Times New Roman"/>
              <w:lang w:val="en-GB"/>
            </w:rPr>
            <w:fldChar w:fldCharType="end"/>
          </w:r>
        </w:sdtContent>
      </w:sdt>
      <w:r w:rsidRPr="0002155D">
        <w:rPr>
          <w:rFonts w:cs="Times New Roman"/>
          <w:lang w:val="en-GB"/>
        </w:rPr>
        <w:t>. Furthermore, the modularisation of the verification process enables the abstraction of lower-level actions to higher</w:t>
      </w:r>
      <w:r>
        <w:rPr>
          <w:rFonts w:cs="Times New Roman"/>
          <w:lang w:val="en-GB"/>
        </w:rPr>
        <w:t>-</w:t>
      </w:r>
      <w:r w:rsidRPr="0002155D">
        <w:rPr>
          <w:rFonts w:cs="Times New Roman"/>
          <w:lang w:val="en-GB"/>
        </w:rPr>
        <w:t>order activities/subprocesses and thereby enhances the understandability of the system. Finally, by breaking down the work into smaller chunks, the resources can be scaled more precisely to the need of each individual verification task.</w:t>
      </w:r>
    </w:p>
    <w:p w14:paraId="7225DCE4" w14:textId="0445645C" w:rsidR="00781BFA" w:rsidRPr="0002155D" w:rsidRDefault="00781BFA" w:rsidP="00781BFA">
      <w:pPr>
        <w:rPr>
          <w:rFonts w:cs="Times New Roman"/>
          <w:lang w:val="en-GB"/>
        </w:rPr>
      </w:pPr>
      <w:r w:rsidRPr="0002155D">
        <w:rPr>
          <w:rFonts w:cs="Times New Roman"/>
          <w:lang w:val="en-GB"/>
        </w:rPr>
        <w:t>Another problem of the process model in figure 2 is the detailedness. Although the model might be sufficient as a work instruction for a legal expert, it lacks more detailed instruction on the data involved in the process and the sub-steps necessary to perform each action. The model is not sufficiently concrete to be used as an RPA-Bot construction manual. We</w:t>
      </w:r>
      <w:r>
        <w:rPr>
          <w:rFonts w:cs="Times New Roman"/>
          <w:lang w:val="en-GB"/>
        </w:rPr>
        <w:t>, therefore,</w:t>
      </w:r>
      <w:r w:rsidRPr="0002155D">
        <w:rPr>
          <w:rFonts w:cs="Times New Roman"/>
          <w:lang w:val="en-GB"/>
        </w:rPr>
        <w:t xml:space="preserve"> propose a second, more detailed module (RPA Solution) </w:t>
      </w:r>
      <w:r w:rsidRPr="004B0B55">
        <w:rPr>
          <w:rFonts w:cs="Times New Roman"/>
          <w:lang w:val="en-GB"/>
        </w:rPr>
        <w:t>that</w:t>
      </w:r>
      <w:r w:rsidRPr="0002155D">
        <w:rPr>
          <w:rFonts w:cs="Times New Roman"/>
          <w:lang w:val="en-GB"/>
        </w:rPr>
        <w:t xml:space="preserve"> clearly outlines the required data for each step and provides actions of lower granularity that are ready to be implemented algorithmically. The module can substitute the </w:t>
      </w:r>
      <w:r>
        <w:rPr>
          <w:rFonts w:cs="Times New Roman"/>
          <w:lang w:val="en-GB"/>
        </w:rPr>
        <w:t>"</w:t>
      </w:r>
      <w:r w:rsidRPr="0002155D">
        <w:rPr>
          <w:rFonts w:cs="Times New Roman"/>
          <w:lang w:val="en-GB"/>
        </w:rPr>
        <w:t>legal experts</w:t>
      </w:r>
      <w:r>
        <w:rPr>
          <w:rFonts w:cs="Times New Roman"/>
          <w:lang w:val="en-GB"/>
        </w:rPr>
        <w:t>"</w:t>
      </w:r>
      <w:r w:rsidRPr="0002155D">
        <w:rPr>
          <w:rFonts w:cs="Times New Roman"/>
          <w:lang w:val="en-GB"/>
        </w:rPr>
        <w:t xml:space="preserve"> module in figure 1 while the verification tasks and the merging of the results remain identical.</w:t>
      </w:r>
    </w:p>
    <w:p w14:paraId="3197FA1C" w14:textId="77777777" w:rsidR="00781BFA" w:rsidRPr="0002155D" w:rsidRDefault="00781BFA" w:rsidP="00781BFA">
      <w:pPr>
        <w:rPr>
          <w:rFonts w:asciiTheme="minorHAnsi" w:hAnsiTheme="minorHAnsi" w:cs="Times New Roman"/>
          <w:lang w:val="en-GB"/>
        </w:rPr>
      </w:pPr>
      <w:r w:rsidRPr="0002155D">
        <w:rPr>
          <w:rFonts w:cs="Times New Roman"/>
          <w:lang w:val="en-GB"/>
        </w:rPr>
        <w:t xml:space="preserve">Since </w:t>
      </w:r>
      <w:r>
        <w:rPr>
          <w:rFonts w:cs="Times New Roman"/>
          <w:lang w:val="en-GB"/>
        </w:rPr>
        <w:t xml:space="preserve">the </w:t>
      </w:r>
      <w:r w:rsidRPr="0002155D">
        <w:rPr>
          <w:rFonts w:cs="Times New Roman"/>
          <w:lang w:val="en-GB"/>
        </w:rPr>
        <w:t>law is a science in which much depends on contextual circumstances, we must presuppose some premises so that the algorithmic implementation corresponds to the legal examination procedures. Some of these premisses are general practices accepted by the courts</w:t>
      </w:r>
      <w:r>
        <w:rPr>
          <w:rFonts w:cs="Times New Roman"/>
          <w:lang w:val="en-GB"/>
        </w:rPr>
        <w:t>;</w:t>
      </w:r>
      <w:r w:rsidRPr="0002155D">
        <w:rPr>
          <w:rFonts w:cs="Times New Roman"/>
          <w:lang w:val="en-GB"/>
        </w:rPr>
        <w:t xml:space="preserve"> others are enterprise</w:t>
      </w:r>
      <w:r>
        <w:rPr>
          <w:rFonts w:cs="Times New Roman"/>
          <w:lang w:val="en-GB"/>
        </w:rPr>
        <w:t>-</w:t>
      </w:r>
      <w:r w:rsidRPr="0002155D">
        <w:rPr>
          <w:rFonts w:cs="Times New Roman"/>
          <w:lang w:val="en-GB"/>
        </w:rPr>
        <w:t>specific and need to be evaluated individually by the applicant.</w:t>
      </w:r>
    </w:p>
    <w:p w14:paraId="2E62D193" w14:textId="77777777" w:rsidR="00781BFA" w:rsidRPr="0002155D" w:rsidRDefault="00781BFA" w:rsidP="00781BFA">
      <w:pPr>
        <w:pStyle w:val="berschrift2"/>
        <w:keepLines/>
        <w:numPr>
          <w:ilvl w:val="1"/>
          <w:numId w:val="28"/>
        </w:numPr>
        <w:spacing w:before="40" w:after="0"/>
        <w:rPr>
          <w:lang w:val="en-GB"/>
        </w:rPr>
      </w:pPr>
      <w:r w:rsidRPr="0002155D">
        <w:rPr>
          <w:lang w:val="en-GB"/>
        </w:rPr>
        <w:t>RPA-Solution model</w:t>
      </w:r>
    </w:p>
    <w:p w14:paraId="200EC03B" w14:textId="77777777" w:rsidR="00781BFA" w:rsidRPr="0002155D" w:rsidRDefault="00781BFA" w:rsidP="00781BFA">
      <w:pPr>
        <w:rPr>
          <w:rFonts w:asciiTheme="minorHAnsi" w:hAnsiTheme="minorHAnsi"/>
          <w:lang w:val="en-GB"/>
        </w:rPr>
      </w:pPr>
      <w:r w:rsidRPr="0002155D">
        <w:rPr>
          <w:lang w:val="en-GB"/>
        </w:rPr>
        <w:t>To model t</w:t>
      </w:r>
      <w:r w:rsidRPr="0002155D">
        <w:rPr>
          <w:rFonts w:asciiTheme="minorHAnsi" w:hAnsiTheme="minorHAnsi"/>
          <w:lang w:val="en-GB"/>
        </w:rPr>
        <w:t xml:space="preserve">he legal </w:t>
      </w:r>
      <w:r w:rsidRPr="0002155D">
        <w:rPr>
          <w:lang w:val="en-GB"/>
        </w:rPr>
        <w:t xml:space="preserve">assessment of intra-community supplies, the modelling language </w:t>
      </w:r>
      <w:r w:rsidRPr="0002155D">
        <w:rPr>
          <w:rFonts w:cs="Times New Roman"/>
          <w:smallCaps/>
          <w:lang w:val="en-GB"/>
        </w:rPr>
        <w:t>Heraklit</w:t>
      </w:r>
      <w:r w:rsidRPr="0002155D">
        <w:rPr>
          <w:lang w:val="en-GB"/>
        </w:rPr>
        <w:t xml:space="preserve"> is used. It amalgamates the detailed description of static data involved and the dynamic behaviour of a process. In Addition, its strict formalism simplifies the transformation into an algorithmic implementation.</w:t>
      </w:r>
    </w:p>
    <w:p w14:paraId="70F16A60" w14:textId="2C7CD9F1" w:rsidR="00781BFA" w:rsidRDefault="00781BFA" w:rsidP="00781BFA">
      <w:pPr>
        <w:rPr>
          <w:lang w:val="en-GB"/>
        </w:rPr>
      </w:pPr>
      <w:r w:rsidRPr="0002155D">
        <w:rPr>
          <w:lang w:val="en-GB"/>
        </w:rPr>
        <w:t>To start, the static data objects involved in the process are enumerated and composed. Together they form the signature of the model:</w:t>
      </w:r>
    </w:p>
    <w:p w14:paraId="419A0C33" w14:textId="77777777" w:rsidR="00AF73A2" w:rsidRDefault="00AF73A2" w:rsidP="00781BFA">
      <w:pPr>
        <w:rPr>
          <w:lang w:val="en-GB"/>
        </w:rPr>
      </w:pPr>
    </w:p>
    <w:p w14:paraId="2BFF061C" w14:textId="77777777" w:rsidR="00AF73A2" w:rsidRDefault="00AF73A2" w:rsidP="00781BFA">
      <w:pPr>
        <w:rPr>
          <w:lang w:val="en-GB"/>
        </w:rPr>
      </w:pPr>
    </w:p>
    <w:tbl>
      <w:tblPr>
        <w:tblStyle w:val="Tabellenraster"/>
        <w:tblW w:w="0" w:type="auto"/>
        <w:tblLook w:val="04A0" w:firstRow="1" w:lastRow="0" w:firstColumn="1" w:lastColumn="0" w:noHBand="0" w:noVBand="1"/>
      </w:tblPr>
      <w:tblGrid>
        <w:gridCol w:w="339"/>
        <w:gridCol w:w="2208"/>
        <w:gridCol w:w="2042"/>
        <w:gridCol w:w="2016"/>
        <w:gridCol w:w="18"/>
      </w:tblGrid>
      <w:tr w:rsidR="005B224D" w:rsidRPr="005B224D" w14:paraId="68C0106E" w14:textId="77777777" w:rsidTr="0046466D">
        <w:tc>
          <w:tcPr>
            <w:tcW w:w="4589" w:type="dxa"/>
            <w:gridSpan w:val="3"/>
            <w:shd w:val="clear" w:color="auto" w:fill="D0CECE" w:themeFill="background2" w:themeFillShade="E6"/>
          </w:tcPr>
          <w:p w14:paraId="76837E3F" w14:textId="77777777" w:rsidR="005B224D" w:rsidRPr="005B224D" w:rsidRDefault="005B224D" w:rsidP="005B224D">
            <w:pPr>
              <w:rPr>
                <w:b/>
                <w:lang w:val="en-GB"/>
              </w:rPr>
            </w:pPr>
            <w:r w:rsidRPr="005B224D">
              <w:rPr>
                <w:b/>
                <w:lang w:val="en-GB"/>
              </w:rPr>
              <w:lastRenderedPageBreak/>
              <w:t>Base Sorts</w:t>
            </w:r>
          </w:p>
        </w:tc>
        <w:tc>
          <w:tcPr>
            <w:tcW w:w="2034" w:type="dxa"/>
            <w:gridSpan w:val="2"/>
            <w:shd w:val="clear" w:color="auto" w:fill="D0CECE" w:themeFill="background2" w:themeFillShade="E6"/>
          </w:tcPr>
          <w:p w14:paraId="2D8F2D0D" w14:textId="77777777" w:rsidR="005B224D" w:rsidRPr="005B224D" w:rsidRDefault="005B224D" w:rsidP="005B224D">
            <w:pPr>
              <w:rPr>
                <w:b/>
                <w:lang w:val="en-GB"/>
              </w:rPr>
            </w:pPr>
            <w:r w:rsidRPr="005B224D">
              <w:rPr>
                <w:b/>
                <w:lang w:val="en-GB"/>
              </w:rPr>
              <w:t>Variable names</w:t>
            </w:r>
          </w:p>
        </w:tc>
      </w:tr>
      <w:tr w:rsidR="005B224D" w:rsidRPr="005B224D" w14:paraId="2122AB35" w14:textId="77777777" w:rsidTr="0046466D">
        <w:trPr>
          <w:gridAfter w:val="1"/>
          <w:wAfter w:w="18" w:type="dxa"/>
        </w:trPr>
        <w:tc>
          <w:tcPr>
            <w:tcW w:w="339" w:type="dxa"/>
          </w:tcPr>
          <w:p w14:paraId="2B433B75" w14:textId="77777777" w:rsidR="005B224D" w:rsidRPr="005B224D" w:rsidRDefault="005B224D" w:rsidP="005B224D">
            <w:pPr>
              <w:rPr>
                <w:lang w:val="en-GB"/>
              </w:rPr>
            </w:pPr>
          </w:p>
        </w:tc>
        <w:tc>
          <w:tcPr>
            <w:tcW w:w="4250" w:type="dxa"/>
            <w:gridSpan w:val="2"/>
          </w:tcPr>
          <w:p w14:paraId="4D4CB5C5" w14:textId="77777777" w:rsidR="005B224D" w:rsidRPr="005B224D" w:rsidRDefault="005B224D" w:rsidP="005B224D">
            <w:pPr>
              <w:rPr>
                <w:lang w:val="en-GB"/>
              </w:rPr>
            </w:pPr>
            <w:r w:rsidRPr="005B224D">
              <w:rPr>
                <w:lang w:val="en-GB"/>
              </w:rPr>
              <w:t>Legal entity</w:t>
            </w:r>
          </w:p>
        </w:tc>
        <w:tc>
          <w:tcPr>
            <w:tcW w:w="2016" w:type="dxa"/>
          </w:tcPr>
          <w:p w14:paraId="12E61E3C" w14:textId="12F4138F" w:rsidR="005B224D" w:rsidRPr="005B224D" w:rsidRDefault="005B224D" w:rsidP="005B224D">
            <w:pPr>
              <w:rPr>
                <w:lang w:val="en-GB"/>
              </w:rPr>
            </w:pPr>
            <w:r w:rsidRPr="005B224D">
              <w:rPr>
                <w:lang w:val="en-GB"/>
              </w:rPr>
              <w:t>enty,</w:t>
            </w:r>
            <w:r w:rsidR="00A12FBC">
              <w:rPr>
                <w:lang w:val="en-GB"/>
              </w:rPr>
              <w:br/>
            </w:r>
            <w:r w:rsidRPr="005B224D">
              <w:rPr>
                <w:lang w:val="en-GB"/>
              </w:rPr>
              <w:t xml:space="preserve">enty_1, </w:t>
            </w:r>
            <w:r w:rsidR="00A12FBC">
              <w:rPr>
                <w:lang w:val="en-GB"/>
              </w:rPr>
              <w:br/>
            </w:r>
            <w:r w:rsidRPr="005B224D">
              <w:rPr>
                <w:lang w:val="en-GB"/>
              </w:rPr>
              <w:t>enty_2</w:t>
            </w:r>
          </w:p>
        </w:tc>
      </w:tr>
      <w:tr w:rsidR="005B224D" w:rsidRPr="005B224D" w14:paraId="174EC100" w14:textId="77777777" w:rsidTr="0046466D">
        <w:trPr>
          <w:gridAfter w:val="1"/>
          <w:wAfter w:w="18" w:type="dxa"/>
        </w:trPr>
        <w:tc>
          <w:tcPr>
            <w:tcW w:w="339" w:type="dxa"/>
          </w:tcPr>
          <w:p w14:paraId="4A0EC7B3" w14:textId="77777777" w:rsidR="005B224D" w:rsidRPr="005B224D" w:rsidRDefault="005B224D" w:rsidP="005B224D">
            <w:pPr>
              <w:rPr>
                <w:lang w:val="en-GB"/>
              </w:rPr>
            </w:pPr>
          </w:p>
        </w:tc>
        <w:tc>
          <w:tcPr>
            <w:tcW w:w="4250" w:type="dxa"/>
            <w:gridSpan w:val="2"/>
          </w:tcPr>
          <w:p w14:paraId="341007C1" w14:textId="77777777" w:rsidR="005B224D" w:rsidRPr="005B224D" w:rsidRDefault="005B224D" w:rsidP="005B224D">
            <w:pPr>
              <w:rPr>
                <w:lang w:val="en-GB"/>
              </w:rPr>
            </w:pPr>
            <w:r w:rsidRPr="005B224D">
              <w:rPr>
                <w:lang w:val="en-GB"/>
              </w:rPr>
              <w:t>Product</w:t>
            </w:r>
          </w:p>
        </w:tc>
        <w:tc>
          <w:tcPr>
            <w:tcW w:w="2016" w:type="dxa"/>
          </w:tcPr>
          <w:p w14:paraId="660635E7" w14:textId="77777777" w:rsidR="005B224D" w:rsidRPr="005B224D" w:rsidRDefault="005B224D" w:rsidP="005B224D">
            <w:pPr>
              <w:rPr>
                <w:lang w:val="en-GB"/>
              </w:rPr>
            </w:pPr>
            <w:r w:rsidRPr="005B224D">
              <w:rPr>
                <w:lang w:val="en-GB"/>
              </w:rPr>
              <w:t>prod, prod_1</w:t>
            </w:r>
          </w:p>
        </w:tc>
      </w:tr>
      <w:tr w:rsidR="005B224D" w:rsidRPr="005B224D" w14:paraId="564BBDAB" w14:textId="77777777" w:rsidTr="0046466D">
        <w:trPr>
          <w:gridAfter w:val="1"/>
          <w:wAfter w:w="18" w:type="dxa"/>
        </w:trPr>
        <w:tc>
          <w:tcPr>
            <w:tcW w:w="339" w:type="dxa"/>
          </w:tcPr>
          <w:p w14:paraId="434EEDEC" w14:textId="77777777" w:rsidR="005B224D" w:rsidRPr="005B224D" w:rsidRDefault="005B224D" w:rsidP="005B224D">
            <w:pPr>
              <w:rPr>
                <w:lang w:val="en-GB"/>
              </w:rPr>
            </w:pPr>
          </w:p>
        </w:tc>
        <w:tc>
          <w:tcPr>
            <w:tcW w:w="4250" w:type="dxa"/>
            <w:gridSpan w:val="2"/>
          </w:tcPr>
          <w:p w14:paraId="460A572B" w14:textId="77777777" w:rsidR="005B224D" w:rsidRPr="005B224D" w:rsidRDefault="005B224D" w:rsidP="005B224D">
            <w:pPr>
              <w:rPr>
                <w:lang w:val="en-GB"/>
              </w:rPr>
            </w:pPr>
            <w:r w:rsidRPr="005B224D">
              <w:rPr>
                <w:lang w:val="en-GB"/>
              </w:rPr>
              <w:t>Product Category</w:t>
            </w:r>
          </w:p>
        </w:tc>
        <w:tc>
          <w:tcPr>
            <w:tcW w:w="2016" w:type="dxa"/>
          </w:tcPr>
          <w:p w14:paraId="15BEDDB2" w14:textId="77777777" w:rsidR="005B224D" w:rsidRPr="005B224D" w:rsidRDefault="005B224D" w:rsidP="005B224D">
            <w:pPr>
              <w:rPr>
                <w:lang w:val="en-GB"/>
              </w:rPr>
            </w:pPr>
            <w:r w:rsidRPr="005B224D">
              <w:rPr>
                <w:lang w:val="en-GB"/>
              </w:rPr>
              <w:t>categ</w:t>
            </w:r>
          </w:p>
        </w:tc>
      </w:tr>
      <w:tr w:rsidR="005B224D" w:rsidRPr="005B224D" w14:paraId="33CD6432" w14:textId="77777777" w:rsidTr="0046466D">
        <w:trPr>
          <w:gridAfter w:val="1"/>
          <w:wAfter w:w="18" w:type="dxa"/>
        </w:trPr>
        <w:tc>
          <w:tcPr>
            <w:tcW w:w="339" w:type="dxa"/>
          </w:tcPr>
          <w:p w14:paraId="32B83851" w14:textId="77777777" w:rsidR="005B224D" w:rsidRPr="005B224D" w:rsidRDefault="005B224D" w:rsidP="005B224D">
            <w:pPr>
              <w:rPr>
                <w:lang w:val="en-GB"/>
              </w:rPr>
            </w:pPr>
          </w:p>
        </w:tc>
        <w:tc>
          <w:tcPr>
            <w:tcW w:w="4250" w:type="dxa"/>
            <w:gridSpan w:val="2"/>
          </w:tcPr>
          <w:p w14:paraId="6055442E" w14:textId="77777777" w:rsidR="005B224D" w:rsidRPr="005B224D" w:rsidRDefault="005B224D" w:rsidP="005B224D">
            <w:pPr>
              <w:rPr>
                <w:lang w:val="en-GB"/>
              </w:rPr>
            </w:pPr>
            <w:r w:rsidRPr="005B224D">
              <w:rPr>
                <w:lang w:val="en-GB"/>
              </w:rPr>
              <w:t>VATID</w:t>
            </w:r>
          </w:p>
        </w:tc>
        <w:tc>
          <w:tcPr>
            <w:tcW w:w="2016" w:type="dxa"/>
          </w:tcPr>
          <w:p w14:paraId="422580DD" w14:textId="77777777" w:rsidR="005B224D" w:rsidRPr="005B224D" w:rsidRDefault="005B224D" w:rsidP="005B224D">
            <w:pPr>
              <w:rPr>
                <w:lang w:val="en-GB"/>
              </w:rPr>
            </w:pPr>
            <w:r w:rsidRPr="005B224D">
              <w:rPr>
                <w:lang w:val="en-GB"/>
              </w:rPr>
              <w:t>vatid</w:t>
            </w:r>
          </w:p>
        </w:tc>
      </w:tr>
      <w:tr w:rsidR="005B224D" w:rsidRPr="005B224D" w14:paraId="474878AB" w14:textId="77777777" w:rsidTr="0046466D">
        <w:trPr>
          <w:gridAfter w:val="1"/>
          <w:wAfter w:w="18" w:type="dxa"/>
        </w:trPr>
        <w:tc>
          <w:tcPr>
            <w:tcW w:w="339" w:type="dxa"/>
          </w:tcPr>
          <w:p w14:paraId="698997B2" w14:textId="77777777" w:rsidR="005B224D" w:rsidRPr="005B224D" w:rsidRDefault="005B224D" w:rsidP="005B224D">
            <w:pPr>
              <w:rPr>
                <w:lang w:val="en-GB"/>
              </w:rPr>
            </w:pPr>
          </w:p>
        </w:tc>
        <w:tc>
          <w:tcPr>
            <w:tcW w:w="4250" w:type="dxa"/>
            <w:gridSpan w:val="2"/>
          </w:tcPr>
          <w:p w14:paraId="5E8D7715" w14:textId="77777777" w:rsidR="005B224D" w:rsidRPr="005B224D" w:rsidRDefault="005B224D" w:rsidP="005B224D">
            <w:pPr>
              <w:rPr>
                <w:lang w:val="en-GB"/>
              </w:rPr>
            </w:pPr>
            <w:r w:rsidRPr="005B224D">
              <w:rPr>
                <w:lang w:val="en-GB"/>
              </w:rPr>
              <w:t>Country</w:t>
            </w:r>
          </w:p>
        </w:tc>
        <w:tc>
          <w:tcPr>
            <w:tcW w:w="2016" w:type="dxa"/>
          </w:tcPr>
          <w:p w14:paraId="741E3E49" w14:textId="42430896" w:rsidR="005B224D" w:rsidRPr="005B224D" w:rsidRDefault="005B224D" w:rsidP="005B224D">
            <w:pPr>
              <w:rPr>
                <w:lang w:val="en-GB"/>
              </w:rPr>
            </w:pPr>
            <w:r w:rsidRPr="005B224D">
              <w:rPr>
                <w:lang w:val="en-GB"/>
              </w:rPr>
              <w:t xml:space="preserve">cntry, </w:t>
            </w:r>
            <w:r w:rsidR="00A12FBC">
              <w:rPr>
                <w:lang w:val="en-GB"/>
              </w:rPr>
              <w:br/>
            </w:r>
            <w:r w:rsidRPr="005B224D">
              <w:rPr>
                <w:lang w:val="en-GB"/>
              </w:rPr>
              <w:t xml:space="preserve">cntry_1, </w:t>
            </w:r>
            <w:r w:rsidR="00A12FBC">
              <w:rPr>
                <w:lang w:val="en-GB"/>
              </w:rPr>
              <w:br/>
            </w:r>
            <w:r w:rsidRPr="005B224D">
              <w:rPr>
                <w:lang w:val="en-GB"/>
              </w:rPr>
              <w:t>cntry_2</w:t>
            </w:r>
          </w:p>
        </w:tc>
      </w:tr>
      <w:tr w:rsidR="005B224D" w:rsidRPr="005B224D" w14:paraId="3583DA88" w14:textId="77777777" w:rsidTr="0046466D">
        <w:trPr>
          <w:gridAfter w:val="1"/>
          <w:wAfter w:w="18" w:type="dxa"/>
        </w:trPr>
        <w:tc>
          <w:tcPr>
            <w:tcW w:w="339" w:type="dxa"/>
          </w:tcPr>
          <w:p w14:paraId="424A2597" w14:textId="77777777" w:rsidR="005B224D" w:rsidRPr="005B224D" w:rsidRDefault="005B224D" w:rsidP="005B224D">
            <w:pPr>
              <w:rPr>
                <w:lang w:val="en-GB"/>
              </w:rPr>
            </w:pPr>
          </w:p>
        </w:tc>
        <w:tc>
          <w:tcPr>
            <w:tcW w:w="4250" w:type="dxa"/>
            <w:gridSpan w:val="2"/>
          </w:tcPr>
          <w:p w14:paraId="3190FA28" w14:textId="77777777" w:rsidR="005B224D" w:rsidRPr="005B224D" w:rsidRDefault="005B224D" w:rsidP="005B224D">
            <w:pPr>
              <w:rPr>
                <w:lang w:val="en-GB"/>
              </w:rPr>
            </w:pPr>
            <w:r w:rsidRPr="005B224D">
              <w:rPr>
                <w:lang w:val="en-GB"/>
              </w:rPr>
              <w:t>Status</w:t>
            </w:r>
          </w:p>
        </w:tc>
        <w:tc>
          <w:tcPr>
            <w:tcW w:w="2016" w:type="dxa"/>
          </w:tcPr>
          <w:p w14:paraId="21D9A461" w14:textId="77777777" w:rsidR="005B224D" w:rsidRPr="005B224D" w:rsidRDefault="005B224D" w:rsidP="005B224D">
            <w:pPr>
              <w:rPr>
                <w:lang w:val="en-GB"/>
              </w:rPr>
            </w:pPr>
            <w:r w:rsidRPr="005B224D">
              <w:rPr>
                <w:lang w:val="en-GB"/>
              </w:rPr>
              <w:t>stat, stat_recv, stat_supp, stat_deliv, stat_prod</w:t>
            </w:r>
          </w:p>
        </w:tc>
      </w:tr>
      <w:tr w:rsidR="005B224D" w:rsidRPr="005B224D" w14:paraId="58998A70" w14:textId="77777777" w:rsidTr="0046466D">
        <w:tc>
          <w:tcPr>
            <w:tcW w:w="2547" w:type="dxa"/>
            <w:gridSpan w:val="2"/>
            <w:shd w:val="clear" w:color="auto" w:fill="D0CECE" w:themeFill="background2" w:themeFillShade="E6"/>
          </w:tcPr>
          <w:p w14:paraId="1E635D37" w14:textId="77777777" w:rsidR="005B224D" w:rsidRPr="005B224D" w:rsidRDefault="005B224D" w:rsidP="005B224D">
            <w:pPr>
              <w:rPr>
                <w:b/>
                <w:lang w:val="en-GB"/>
              </w:rPr>
            </w:pPr>
            <w:r w:rsidRPr="005B224D">
              <w:rPr>
                <w:b/>
                <w:lang w:val="en-GB"/>
              </w:rPr>
              <w:t>Derived Sorts</w:t>
            </w:r>
          </w:p>
        </w:tc>
        <w:tc>
          <w:tcPr>
            <w:tcW w:w="2042" w:type="dxa"/>
            <w:shd w:val="clear" w:color="auto" w:fill="D0CECE" w:themeFill="background2" w:themeFillShade="E6"/>
          </w:tcPr>
          <w:p w14:paraId="64FBB73B" w14:textId="77777777" w:rsidR="005B224D" w:rsidRPr="005B224D" w:rsidRDefault="005B224D" w:rsidP="005B224D">
            <w:pPr>
              <w:rPr>
                <w:lang w:val="en-GB"/>
              </w:rPr>
            </w:pPr>
          </w:p>
        </w:tc>
        <w:tc>
          <w:tcPr>
            <w:tcW w:w="2034" w:type="dxa"/>
            <w:gridSpan w:val="2"/>
            <w:shd w:val="clear" w:color="auto" w:fill="D0CECE" w:themeFill="background2" w:themeFillShade="E6"/>
          </w:tcPr>
          <w:p w14:paraId="27B151BD" w14:textId="77777777" w:rsidR="005B224D" w:rsidRPr="005B224D" w:rsidRDefault="005B224D" w:rsidP="005B224D">
            <w:pPr>
              <w:rPr>
                <w:lang w:val="en-GB"/>
              </w:rPr>
            </w:pPr>
          </w:p>
        </w:tc>
      </w:tr>
      <w:tr w:rsidR="005B224D" w:rsidRPr="005B224D" w14:paraId="2CFE8876" w14:textId="77777777" w:rsidTr="0046466D">
        <w:trPr>
          <w:gridAfter w:val="1"/>
          <w:wAfter w:w="18" w:type="dxa"/>
        </w:trPr>
        <w:tc>
          <w:tcPr>
            <w:tcW w:w="339" w:type="dxa"/>
          </w:tcPr>
          <w:p w14:paraId="1560CF2B" w14:textId="77777777" w:rsidR="005B224D" w:rsidRPr="005B224D" w:rsidRDefault="005B224D" w:rsidP="005B224D">
            <w:pPr>
              <w:rPr>
                <w:lang w:val="en-GB"/>
              </w:rPr>
            </w:pPr>
          </w:p>
        </w:tc>
        <w:tc>
          <w:tcPr>
            <w:tcW w:w="2208" w:type="dxa"/>
          </w:tcPr>
          <w:p w14:paraId="3DF86E5A" w14:textId="77777777" w:rsidR="005B224D" w:rsidRPr="005B224D" w:rsidRDefault="005B224D" w:rsidP="005B224D">
            <w:pPr>
              <w:rPr>
                <w:lang w:val="en-GB"/>
              </w:rPr>
            </w:pPr>
            <w:r w:rsidRPr="005B224D">
              <w:rPr>
                <w:lang w:val="en-GB"/>
              </w:rPr>
              <w:t xml:space="preserve">Company </w:t>
            </w:r>
          </w:p>
        </w:tc>
        <w:tc>
          <w:tcPr>
            <w:tcW w:w="2042" w:type="dxa"/>
          </w:tcPr>
          <w:p w14:paraId="7EAE4257" w14:textId="77777777" w:rsidR="005B224D" w:rsidRPr="005B224D" w:rsidRDefault="005B224D" w:rsidP="005B224D">
            <w:pPr>
              <w:rPr>
                <w:lang w:val="en-GB"/>
              </w:rPr>
            </w:pPr>
            <w:r w:rsidRPr="005B224D">
              <w:rPr>
                <w:lang w:val="en-GB"/>
              </w:rPr>
              <w:t xml:space="preserve">Legal entity </w:t>
            </w:r>
            <w:r w:rsidRPr="005B224D">
              <w:t>×</w:t>
            </w:r>
            <w:r w:rsidRPr="005B224D">
              <w:rPr>
                <w:lang w:val="en-GB"/>
              </w:rPr>
              <w:t xml:space="preserve"> Country</w:t>
            </w:r>
          </w:p>
        </w:tc>
        <w:tc>
          <w:tcPr>
            <w:tcW w:w="2016" w:type="dxa"/>
          </w:tcPr>
          <w:p w14:paraId="7E340707" w14:textId="77777777" w:rsidR="005B224D" w:rsidRPr="005B224D" w:rsidRDefault="005B224D" w:rsidP="005B224D">
            <w:pPr>
              <w:rPr>
                <w:lang w:val="en-GB"/>
              </w:rPr>
            </w:pPr>
            <w:r w:rsidRPr="005B224D">
              <w:rPr>
                <w:lang w:val="en-GB"/>
              </w:rPr>
              <w:t>comp</w:t>
            </w:r>
          </w:p>
        </w:tc>
      </w:tr>
      <w:tr w:rsidR="005B224D" w:rsidRPr="005B224D" w14:paraId="74743B48" w14:textId="77777777" w:rsidTr="0046466D">
        <w:trPr>
          <w:gridAfter w:val="1"/>
          <w:wAfter w:w="18" w:type="dxa"/>
        </w:trPr>
        <w:tc>
          <w:tcPr>
            <w:tcW w:w="339" w:type="dxa"/>
          </w:tcPr>
          <w:p w14:paraId="3BC5E684" w14:textId="77777777" w:rsidR="005B224D" w:rsidRPr="005B224D" w:rsidRDefault="005B224D" w:rsidP="005B224D">
            <w:pPr>
              <w:rPr>
                <w:lang w:val="en-GB"/>
              </w:rPr>
            </w:pPr>
          </w:p>
        </w:tc>
        <w:tc>
          <w:tcPr>
            <w:tcW w:w="2208" w:type="dxa"/>
          </w:tcPr>
          <w:p w14:paraId="32293304" w14:textId="77777777" w:rsidR="005B224D" w:rsidRPr="005B224D" w:rsidRDefault="005B224D" w:rsidP="005B224D">
            <w:pPr>
              <w:rPr>
                <w:lang w:val="en-GB"/>
              </w:rPr>
            </w:pPr>
            <w:r w:rsidRPr="005B224D">
              <w:rPr>
                <w:lang w:val="en-GB"/>
              </w:rPr>
              <w:t>Partner Status</w:t>
            </w:r>
          </w:p>
        </w:tc>
        <w:tc>
          <w:tcPr>
            <w:tcW w:w="2042" w:type="dxa"/>
          </w:tcPr>
          <w:p w14:paraId="7196EADB" w14:textId="77777777" w:rsidR="005B224D" w:rsidRPr="005B224D" w:rsidRDefault="005B224D" w:rsidP="005B224D">
            <w:pPr>
              <w:rPr>
                <w:lang w:val="en-GB"/>
              </w:rPr>
            </w:pPr>
            <w:r w:rsidRPr="005B224D">
              <w:rPr>
                <w:lang w:val="en-GB"/>
              </w:rPr>
              <w:t xml:space="preserve">Company </w:t>
            </w:r>
            <w:r w:rsidRPr="005B224D">
              <w:t>×</w:t>
            </w:r>
            <w:r w:rsidRPr="005B224D">
              <w:rPr>
                <w:lang w:val="en-GB"/>
              </w:rPr>
              <w:t xml:space="preserve"> Status</w:t>
            </w:r>
          </w:p>
        </w:tc>
        <w:tc>
          <w:tcPr>
            <w:tcW w:w="2016" w:type="dxa"/>
          </w:tcPr>
          <w:p w14:paraId="45BCBB8F" w14:textId="77777777" w:rsidR="005B224D" w:rsidRPr="005B224D" w:rsidRDefault="005B224D" w:rsidP="005B224D">
            <w:pPr>
              <w:rPr>
                <w:lang w:val="en-GB"/>
              </w:rPr>
            </w:pPr>
            <w:r w:rsidRPr="005B224D">
              <w:rPr>
                <w:lang w:val="en-GB"/>
              </w:rPr>
              <w:t>-</w:t>
            </w:r>
          </w:p>
        </w:tc>
      </w:tr>
      <w:tr w:rsidR="005B224D" w:rsidRPr="005B224D" w14:paraId="0B0B54CF" w14:textId="77777777" w:rsidTr="0046466D">
        <w:trPr>
          <w:gridAfter w:val="1"/>
          <w:wAfter w:w="18" w:type="dxa"/>
        </w:trPr>
        <w:tc>
          <w:tcPr>
            <w:tcW w:w="339" w:type="dxa"/>
          </w:tcPr>
          <w:p w14:paraId="2A132D4C" w14:textId="77777777" w:rsidR="005B224D" w:rsidRPr="005B224D" w:rsidRDefault="005B224D" w:rsidP="005B224D">
            <w:pPr>
              <w:rPr>
                <w:lang w:val="en-GB"/>
              </w:rPr>
            </w:pPr>
          </w:p>
        </w:tc>
        <w:tc>
          <w:tcPr>
            <w:tcW w:w="2208" w:type="dxa"/>
          </w:tcPr>
          <w:p w14:paraId="3CBD8511" w14:textId="77777777" w:rsidR="005B224D" w:rsidRPr="005B224D" w:rsidRDefault="005B224D" w:rsidP="005B224D">
            <w:pPr>
              <w:rPr>
                <w:lang w:val="en-GB"/>
              </w:rPr>
            </w:pPr>
            <w:r w:rsidRPr="005B224D">
              <w:rPr>
                <w:lang w:val="en-GB"/>
              </w:rPr>
              <w:t xml:space="preserve">Receiver          </w:t>
            </w:r>
          </w:p>
        </w:tc>
        <w:tc>
          <w:tcPr>
            <w:tcW w:w="2042" w:type="dxa"/>
          </w:tcPr>
          <w:p w14:paraId="4DA6A974" w14:textId="77777777" w:rsidR="005B224D" w:rsidRPr="005B224D" w:rsidRDefault="005B224D" w:rsidP="005B224D">
            <w:pPr>
              <w:rPr>
                <w:lang w:val="en-GB"/>
              </w:rPr>
            </w:pPr>
            <w:r w:rsidRPr="005B224D">
              <w:rPr>
                <w:lang w:val="en-GB"/>
              </w:rPr>
              <w:t xml:space="preserve">Company </w:t>
            </w:r>
            <w:r w:rsidRPr="005B224D">
              <w:t>×</w:t>
            </w:r>
            <w:r w:rsidRPr="005B224D">
              <w:rPr>
                <w:lang w:val="en-GB"/>
              </w:rPr>
              <w:t xml:space="preserve"> VATID</w:t>
            </w:r>
          </w:p>
        </w:tc>
        <w:tc>
          <w:tcPr>
            <w:tcW w:w="2016" w:type="dxa"/>
          </w:tcPr>
          <w:p w14:paraId="0DBF9D89" w14:textId="77777777" w:rsidR="005B224D" w:rsidRPr="005B224D" w:rsidRDefault="005B224D" w:rsidP="005B224D">
            <w:pPr>
              <w:rPr>
                <w:lang w:val="en-GB"/>
              </w:rPr>
            </w:pPr>
            <w:r w:rsidRPr="005B224D">
              <w:rPr>
                <w:lang w:val="en-GB"/>
              </w:rPr>
              <w:t>recv</w:t>
            </w:r>
          </w:p>
        </w:tc>
      </w:tr>
      <w:tr w:rsidR="005B224D" w:rsidRPr="005B224D" w14:paraId="3F0229A7" w14:textId="77777777" w:rsidTr="0046466D">
        <w:trPr>
          <w:gridAfter w:val="1"/>
          <w:wAfter w:w="18" w:type="dxa"/>
        </w:trPr>
        <w:tc>
          <w:tcPr>
            <w:tcW w:w="339" w:type="dxa"/>
          </w:tcPr>
          <w:p w14:paraId="4CC139FA" w14:textId="77777777" w:rsidR="005B224D" w:rsidRPr="005B224D" w:rsidRDefault="005B224D" w:rsidP="005B224D">
            <w:pPr>
              <w:rPr>
                <w:lang w:val="en-GB"/>
              </w:rPr>
            </w:pPr>
          </w:p>
        </w:tc>
        <w:tc>
          <w:tcPr>
            <w:tcW w:w="2208" w:type="dxa"/>
          </w:tcPr>
          <w:p w14:paraId="2BDA0F2D" w14:textId="77777777" w:rsidR="005B224D" w:rsidRPr="005B224D" w:rsidRDefault="005B224D" w:rsidP="005B224D">
            <w:pPr>
              <w:rPr>
                <w:lang w:val="en-GB"/>
              </w:rPr>
            </w:pPr>
            <w:r w:rsidRPr="005B224D">
              <w:rPr>
                <w:lang w:val="en-GB"/>
              </w:rPr>
              <w:t>Order Positions</w:t>
            </w:r>
          </w:p>
        </w:tc>
        <w:tc>
          <w:tcPr>
            <w:tcW w:w="2042" w:type="dxa"/>
          </w:tcPr>
          <w:p w14:paraId="678505A4" w14:textId="77777777" w:rsidR="005B224D" w:rsidRPr="005B224D" w:rsidRDefault="005B224D" w:rsidP="005B224D">
            <w:pPr>
              <w:rPr>
                <w:lang w:val="en-GB"/>
              </w:rPr>
            </w:pPr>
            <w:r w:rsidRPr="005B224D">
              <w:rPr>
                <w:lang w:val="en-GB"/>
              </w:rPr>
              <w:t>P(Product)</w:t>
            </w:r>
          </w:p>
        </w:tc>
        <w:tc>
          <w:tcPr>
            <w:tcW w:w="2016" w:type="dxa"/>
          </w:tcPr>
          <w:p w14:paraId="75364BAD" w14:textId="77777777" w:rsidR="005B224D" w:rsidRPr="005B224D" w:rsidRDefault="005B224D" w:rsidP="005B224D">
            <w:pPr>
              <w:rPr>
                <w:lang w:val="en-GB"/>
              </w:rPr>
            </w:pPr>
            <w:r w:rsidRPr="005B224D">
              <w:rPr>
                <w:lang w:val="en-GB"/>
              </w:rPr>
              <w:t>opos</w:t>
            </w:r>
          </w:p>
        </w:tc>
      </w:tr>
      <w:tr w:rsidR="005B224D" w:rsidRPr="005B224D" w14:paraId="0266C368" w14:textId="77777777" w:rsidTr="0046466D">
        <w:trPr>
          <w:gridAfter w:val="1"/>
          <w:wAfter w:w="18" w:type="dxa"/>
        </w:trPr>
        <w:tc>
          <w:tcPr>
            <w:tcW w:w="339" w:type="dxa"/>
          </w:tcPr>
          <w:p w14:paraId="5104C49B" w14:textId="77777777" w:rsidR="005B224D" w:rsidRPr="005B224D" w:rsidRDefault="005B224D" w:rsidP="005B224D">
            <w:pPr>
              <w:rPr>
                <w:lang w:val="en-GB"/>
              </w:rPr>
            </w:pPr>
          </w:p>
        </w:tc>
        <w:tc>
          <w:tcPr>
            <w:tcW w:w="2208" w:type="dxa"/>
          </w:tcPr>
          <w:p w14:paraId="3EF75F73" w14:textId="77777777" w:rsidR="005B224D" w:rsidRPr="005B224D" w:rsidRDefault="005B224D" w:rsidP="005B224D">
            <w:pPr>
              <w:rPr>
                <w:lang w:val="en-GB"/>
              </w:rPr>
            </w:pPr>
            <w:r w:rsidRPr="005B224D">
              <w:rPr>
                <w:lang w:val="en-GB"/>
              </w:rPr>
              <w:t xml:space="preserve">Order              </w:t>
            </w:r>
          </w:p>
        </w:tc>
        <w:tc>
          <w:tcPr>
            <w:tcW w:w="2042" w:type="dxa"/>
          </w:tcPr>
          <w:p w14:paraId="3315A342" w14:textId="77777777" w:rsidR="005B224D" w:rsidRPr="005B224D" w:rsidRDefault="005B224D" w:rsidP="005B224D">
            <w:pPr>
              <w:rPr>
                <w:lang w:val="en-GB"/>
              </w:rPr>
            </w:pPr>
            <w:r w:rsidRPr="005B224D">
              <w:rPr>
                <w:lang w:val="en-GB"/>
              </w:rPr>
              <w:t xml:space="preserve">Company </w:t>
            </w:r>
            <w:r w:rsidRPr="005B224D">
              <w:t>×</w:t>
            </w:r>
            <w:r w:rsidRPr="005B224D">
              <w:rPr>
                <w:lang w:val="en-GB"/>
              </w:rPr>
              <w:t xml:space="preserve"> Receiver </w:t>
            </w:r>
            <w:r w:rsidRPr="005B224D">
              <w:t>×</w:t>
            </w:r>
            <w:r w:rsidRPr="005B224D">
              <w:rPr>
                <w:lang w:val="en-GB"/>
              </w:rPr>
              <w:t xml:space="preserve"> Order Positions</w:t>
            </w:r>
          </w:p>
        </w:tc>
        <w:tc>
          <w:tcPr>
            <w:tcW w:w="2016" w:type="dxa"/>
          </w:tcPr>
          <w:p w14:paraId="6024E4B4" w14:textId="77777777" w:rsidR="005B224D" w:rsidRPr="005B224D" w:rsidRDefault="005B224D" w:rsidP="005B224D">
            <w:pPr>
              <w:rPr>
                <w:lang w:val="en-GB"/>
              </w:rPr>
            </w:pPr>
            <w:r w:rsidRPr="005B224D">
              <w:rPr>
                <w:lang w:val="en-GB"/>
              </w:rPr>
              <w:t>ordr</w:t>
            </w:r>
          </w:p>
        </w:tc>
      </w:tr>
      <w:tr w:rsidR="005B224D" w:rsidRPr="005B224D" w14:paraId="6554F016" w14:textId="77777777" w:rsidTr="0046466D">
        <w:tc>
          <w:tcPr>
            <w:tcW w:w="6623" w:type="dxa"/>
            <w:gridSpan w:val="5"/>
            <w:shd w:val="clear" w:color="auto" w:fill="D0CECE" w:themeFill="background2" w:themeFillShade="E6"/>
          </w:tcPr>
          <w:p w14:paraId="3B63237B" w14:textId="77777777" w:rsidR="005B224D" w:rsidRPr="005B224D" w:rsidRDefault="005B224D" w:rsidP="005B224D">
            <w:pPr>
              <w:rPr>
                <w:lang w:val="en-GB"/>
              </w:rPr>
            </w:pPr>
            <w:r w:rsidRPr="005B224D">
              <w:rPr>
                <w:b/>
                <w:lang w:val="en-GB"/>
              </w:rPr>
              <w:t>Functions</w:t>
            </w:r>
          </w:p>
        </w:tc>
      </w:tr>
      <w:tr w:rsidR="005B224D" w:rsidRPr="005B224D" w14:paraId="32F15BE2" w14:textId="77777777" w:rsidTr="0046466D">
        <w:trPr>
          <w:gridAfter w:val="1"/>
          <w:wAfter w:w="18" w:type="dxa"/>
        </w:trPr>
        <w:tc>
          <w:tcPr>
            <w:tcW w:w="339" w:type="dxa"/>
          </w:tcPr>
          <w:p w14:paraId="068B7B00" w14:textId="77777777" w:rsidR="005B224D" w:rsidRPr="005B224D" w:rsidRDefault="005B224D" w:rsidP="005B224D">
            <w:pPr>
              <w:rPr>
                <w:lang w:val="en-GB"/>
              </w:rPr>
            </w:pPr>
          </w:p>
        </w:tc>
        <w:tc>
          <w:tcPr>
            <w:tcW w:w="6266" w:type="dxa"/>
            <w:gridSpan w:val="3"/>
          </w:tcPr>
          <w:p w14:paraId="2FFA5DE8" w14:textId="77777777" w:rsidR="005B224D" w:rsidRPr="005B224D" w:rsidRDefault="005B224D" w:rsidP="005B224D">
            <w:pPr>
              <w:rPr>
                <w:lang w:val="en-GB"/>
              </w:rPr>
            </w:pPr>
            <w:r w:rsidRPr="005B224D">
              <w:rPr>
                <w:lang w:val="en-GB"/>
              </w:rPr>
              <w:t>cat: Product -&gt; Product category</w:t>
            </w:r>
          </w:p>
        </w:tc>
      </w:tr>
    </w:tbl>
    <w:p w14:paraId="57479824" w14:textId="0B9604E7" w:rsidR="00781BFA" w:rsidRPr="0002155D" w:rsidRDefault="00781BFA" w:rsidP="00781BFA">
      <w:pPr>
        <w:pStyle w:val="Beschriftung"/>
        <w:rPr>
          <w:lang w:val="en-GB"/>
        </w:rPr>
      </w:pPr>
      <w:r w:rsidRPr="0002155D">
        <w:rPr>
          <w:lang w:val="en-GB"/>
        </w:rPr>
        <w:t xml:space="preserve">Table </w:t>
      </w:r>
      <w:r w:rsidRPr="0002155D">
        <w:rPr>
          <w:lang w:val="en-GB"/>
        </w:rPr>
        <w:fldChar w:fldCharType="begin"/>
      </w:r>
      <w:r w:rsidRPr="0002155D">
        <w:rPr>
          <w:lang w:val="en-GB"/>
        </w:rPr>
        <w:instrText xml:space="preserve"> SEQ Table \* ARABIC </w:instrText>
      </w:r>
      <w:r w:rsidRPr="0002155D">
        <w:rPr>
          <w:lang w:val="en-GB"/>
        </w:rPr>
        <w:fldChar w:fldCharType="separate"/>
      </w:r>
      <w:r w:rsidR="00D53826">
        <w:rPr>
          <w:noProof/>
          <w:lang w:val="en-GB"/>
        </w:rPr>
        <w:t>1</w:t>
      </w:r>
      <w:r w:rsidRPr="0002155D">
        <w:rPr>
          <w:lang w:val="en-GB"/>
        </w:rPr>
        <w:fldChar w:fldCharType="end"/>
      </w:r>
      <w:r w:rsidRPr="0002155D">
        <w:rPr>
          <w:lang w:val="en-GB"/>
        </w:rPr>
        <w:t>: Signature of the model</w:t>
      </w:r>
    </w:p>
    <w:p w14:paraId="70A488BF" w14:textId="77777777" w:rsidR="00781BFA" w:rsidRPr="0002155D" w:rsidRDefault="00781BFA" w:rsidP="00781BFA">
      <w:pPr>
        <w:rPr>
          <w:rFonts w:cs="Times New Roman"/>
          <w:noProof/>
          <w:lang w:val="en-GB"/>
        </w:rPr>
      </w:pPr>
      <w:r w:rsidRPr="0002155D">
        <w:rPr>
          <w:lang w:val="en-GB"/>
        </w:rPr>
        <w:t xml:space="preserve">Through this signature, the required static elements are further characterised without a reference to a specific data format. It should be noted that the sort </w:t>
      </w:r>
      <w:r>
        <w:rPr>
          <w:lang w:val="en-GB"/>
        </w:rPr>
        <w:t>"</w:t>
      </w:r>
      <w:r w:rsidRPr="0002155D">
        <w:rPr>
          <w:lang w:val="en-GB"/>
        </w:rPr>
        <w:t>Order</w:t>
      </w:r>
      <w:r>
        <w:rPr>
          <w:lang w:val="en-GB"/>
        </w:rPr>
        <w:t>"</w:t>
      </w:r>
      <w:r w:rsidRPr="0002155D">
        <w:rPr>
          <w:lang w:val="en-GB"/>
        </w:rPr>
        <w:t xml:space="preserve"> can either be an invoice (for the recipient of an intra-community </w:t>
      </w:r>
      <w:r w:rsidRPr="0002155D">
        <w:rPr>
          <w:lang w:val="en-GB"/>
        </w:rPr>
        <w:lastRenderedPageBreak/>
        <w:t xml:space="preserve">supply) or a purchase order (for the supplier). Although the logical structure of an invoice is prescribed in more detailed form (e.g. invoice number, tax rate, </w:t>
      </w:r>
      <w:r>
        <w:rPr>
          <w:lang w:val="en-GB"/>
        </w:rPr>
        <w:t>etc.</w:t>
      </w:r>
      <w:r w:rsidRPr="0002155D">
        <w:rPr>
          <w:lang w:val="en-GB"/>
        </w:rPr>
        <w:t>), the signature is reduced to the data elements necessary to perform an intra-community-supply verification. The invoice is assumed to conform with additional formal requirements from other regulations.</w:t>
      </w:r>
    </w:p>
    <w:p w14:paraId="731F0843" w14:textId="38CC87FE" w:rsidR="00781BFA" w:rsidRPr="0002155D" w:rsidRDefault="00855F81" w:rsidP="00781BFA">
      <w:pPr>
        <w:keepNext/>
        <w:rPr>
          <w:lang w:val="en-GB"/>
        </w:rPr>
      </w:pPr>
      <w:r>
        <w:rPr>
          <w:noProof/>
          <w:sz w:val="16"/>
          <w:szCs w:val="16"/>
        </w:rPr>
        <w:drawing>
          <wp:inline distT="0" distB="0" distL="0" distR="0" wp14:anchorId="1989FD35" wp14:editId="1A7237A9">
            <wp:extent cx="4248804" cy="213903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rcRect t="24647" r="32823"/>
                    <a:stretch/>
                  </pic:blipFill>
                  <pic:spPr bwMode="auto">
                    <a:xfrm>
                      <a:off x="0" y="0"/>
                      <a:ext cx="4284011" cy="2156764"/>
                    </a:xfrm>
                    <a:prstGeom prst="rect">
                      <a:avLst/>
                    </a:prstGeom>
                    <a:ln>
                      <a:noFill/>
                    </a:ln>
                    <a:extLst>
                      <a:ext uri="{53640926-AAD7-44D8-BBD7-CCE9431645EC}">
                        <a14:shadowObscured xmlns:a14="http://schemas.microsoft.com/office/drawing/2010/main"/>
                      </a:ext>
                    </a:extLst>
                  </pic:spPr>
                </pic:pic>
              </a:graphicData>
            </a:graphic>
          </wp:inline>
        </w:drawing>
      </w:r>
    </w:p>
    <w:p w14:paraId="088CDC5E" w14:textId="4EF05C82" w:rsidR="00781BFA" w:rsidRPr="0002155D" w:rsidRDefault="00781BFA" w:rsidP="00781BFA">
      <w:pPr>
        <w:pStyle w:val="Beschriftung"/>
        <w:rPr>
          <w:lang w:val="en-GB"/>
        </w:rPr>
      </w:pPr>
      <w:r w:rsidRPr="0002155D">
        <w:rPr>
          <w:lang w:val="en-GB"/>
        </w:rPr>
        <w:t xml:space="preserve">Figure </w:t>
      </w:r>
      <w:r w:rsidRPr="0002155D">
        <w:rPr>
          <w:lang w:val="en-GB"/>
        </w:rPr>
        <w:fldChar w:fldCharType="begin"/>
      </w:r>
      <w:r w:rsidRPr="0002155D">
        <w:rPr>
          <w:lang w:val="en-GB"/>
        </w:rPr>
        <w:instrText xml:space="preserve"> SEQ Figure \* ARABIC </w:instrText>
      </w:r>
      <w:r w:rsidRPr="0002155D">
        <w:rPr>
          <w:lang w:val="en-GB"/>
        </w:rPr>
        <w:fldChar w:fldCharType="separate"/>
      </w:r>
      <w:r w:rsidR="00D53826">
        <w:rPr>
          <w:noProof/>
          <w:lang w:val="en-GB"/>
        </w:rPr>
        <w:t>4</w:t>
      </w:r>
      <w:r w:rsidRPr="0002155D">
        <w:rPr>
          <w:lang w:val="en-GB"/>
        </w:rPr>
        <w:fldChar w:fldCharType="end"/>
      </w:r>
      <w:r w:rsidRPr="0002155D">
        <w:rPr>
          <w:lang w:val="en-GB"/>
        </w:rPr>
        <w:t>: Composition of Module "RPA Solution"</w:t>
      </w:r>
    </w:p>
    <w:p w14:paraId="1EEEB687" w14:textId="77777777" w:rsidR="00781BFA" w:rsidRPr="0002155D" w:rsidRDefault="00781BFA" w:rsidP="00781BFA">
      <w:pPr>
        <w:rPr>
          <w:lang w:val="en-GB"/>
        </w:rPr>
      </w:pPr>
      <w:r w:rsidRPr="0002155D">
        <w:rPr>
          <w:lang w:val="en-GB"/>
        </w:rPr>
        <w:t>Following the static elements, the composition of each submodule is presented in figure 4. An order can arrive at any time</w:t>
      </w:r>
      <w:r>
        <w:rPr>
          <w:lang w:val="en-GB"/>
        </w:rPr>
        <w:t>,</w:t>
      </w:r>
      <w:r w:rsidRPr="0002155D">
        <w:rPr>
          <w:lang w:val="en-GB"/>
        </w:rPr>
        <w:t xml:space="preserve"> and when it does, </w:t>
      </w:r>
      <w:r w:rsidRPr="0002155D">
        <w:rPr>
          <w:rFonts w:cs="Times New Roman"/>
          <w:lang w:val="en-GB"/>
        </w:rPr>
        <w:t>it is split into several smaller data objects, each containing only the necessary information to perform the following verification. This is done in the module Split Tasks. Afterwards</w:t>
      </w:r>
      <w:r>
        <w:rPr>
          <w:rFonts w:cs="Times New Roman"/>
          <w:lang w:val="en-GB"/>
        </w:rPr>
        <w:t>,</w:t>
      </w:r>
      <w:r w:rsidRPr="0002155D">
        <w:rPr>
          <w:rFonts w:cs="Times New Roman"/>
          <w:lang w:val="en-GB"/>
        </w:rPr>
        <w:t xml:space="preserve"> each individual verification is performed in a separate module. The modules Verify receiver and Verify supplier investigate the required status of the companies involved and share a common data object, the Partner Status, but other </w:t>
      </w:r>
      <w:r>
        <w:rPr>
          <w:rFonts w:cs="Times New Roman"/>
          <w:lang w:val="en-GB"/>
        </w:rPr>
        <w:t>than</w:t>
      </w:r>
      <w:r w:rsidRPr="0002155D">
        <w:rPr>
          <w:rFonts w:cs="Times New Roman"/>
          <w:lang w:val="en-GB"/>
        </w:rPr>
        <w:t xml:space="preserve"> that, they are independent. The module Verify delivery checks for sufficient documentation of the shipment to the foreign EU</w:t>
      </w:r>
      <w:r>
        <w:rPr>
          <w:rFonts w:cs="Times New Roman"/>
          <w:lang w:val="en-GB"/>
        </w:rPr>
        <w:t xml:space="preserve"> </w:t>
      </w:r>
      <w:r w:rsidRPr="0002155D">
        <w:rPr>
          <w:rFonts w:cs="Times New Roman"/>
          <w:lang w:val="en-GB"/>
        </w:rPr>
        <w:t>country</w:t>
      </w:r>
      <w:r>
        <w:rPr>
          <w:rFonts w:cs="Times New Roman"/>
          <w:lang w:val="en-GB"/>
        </w:rPr>
        <w:t>. T</w:t>
      </w:r>
      <w:r w:rsidRPr="0002155D">
        <w:rPr>
          <w:rFonts w:cs="Times New Roman"/>
          <w:lang w:val="en-GB"/>
        </w:rPr>
        <w:t xml:space="preserve">he module Verify products </w:t>
      </w:r>
      <w:r>
        <w:rPr>
          <w:rFonts w:cs="Times New Roman"/>
          <w:lang w:val="en-GB"/>
        </w:rPr>
        <w:t>ensures</w:t>
      </w:r>
      <w:r w:rsidRPr="0002155D">
        <w:rPr>
          <w:rFonts w:cs="Times New Roman"/>
          <w:lang w:val="en-GB"/>
        </w:rPr>
        <w:t xml:space="preserve"> that the individual products are subject to the VAT in the destination country. At last, the module Merge Verification results merges all four outcomes and proposes one final assessment.</w:t>
      </w:r>
    </w:p>
    <w:p w14:paraId="46DD0B3F" w14:textId="77777777" w:rsidR="00781BFA" w:rsidRPr="0002155D" w:rsidRDefault="00781BFA" w:rsidP="00781BFA">
      <w:pPr>
        <w:keepNext/>
        <w:rPr>
          <w:lang w:val="en-GB"/>
        </w:rPr>
      </w:pPr>
      <w:r>
        <w:rPr>
          <w:noProof/>
        </w:rPr>
        <w:lastRenderedPageBreak/>
        <w:drawing>
          <wp:inline distT="0" distB="0" distL="0" distR="0" wp14:anchorId="4A7ED263" wp14:editId="1FC6DF9D">
            <wp:extent cx="4199308" cy="2380663"/>
            <wp:effectExtent l="0" t="0" r="0"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201816" cy="2382085"/>
                    </a:xfrm>
                    <a:prstGeom prst="rect">
                      <a:avLst/>
                    </a:prstGeom>
                  </pic:spPr>
                </pic:pic>
              </a:graphicData>
            </a:graphic>
          </wp:inline>
        </w:drawing>
      </w:r>
    </w:p>
    <w:p w14:paraId="29053E30" w14:textId="0CE4CE5B" w:rsidR="00781BFA" w:rsidRPr="0002155D" w:rsidRDefault="00781BFA" w:rsidP="00781BFA">
      <w:pPr>
        <w:pStyle w:val="Beschriftung"/>
        <w:rPr>
          <w:rFonts w:asciiTheme="minorHAnsi" w:hAnsiTheme="minorHAnsi" w:cs="Times New Roman"/>
          <w:lang w:val="en-GB"/>
        </w:rPr>
      </w:pPr>
      <w:r w:rsidRPr="0002155D">
        <w:rPr>
          <w:lang w:val="en-GB"/>
        </w:rPr>
        <w:t xml:space="preserve">Figure </w:t>
      </w:r>
      <w:r w:rsidRPr="0002155D">
        <w:rPr>
          <w:lang w:val="en-GB"/>
        </w:rPr>
        <w:fldChar w:fldCharType="begin"/>
      </w:r>
      <w:r w:rsidRPr="0002155D">
        <w:rPr>
          <w:lang w:val="en-GB"/>
        </w:rPr>
        <w:instrText xml:space="preserve"> SEQ Figure \* ARABIC </w:instrText>
      </w:r>
      <w:r w:rsidRPr="0002155D">
        <w:rPr>
          <w:lang w:val="en-GB"/>
        </w:rPr>
        <w:fldChar w:fldCharType="separate"/>
      </w:r>
      <w:r w:rsidR="00D53826">
        <w:rPr>
          <w:noProof/>
          <w:lang w:val="en-GB"/>
        </w:rPr>
        <w:t>5</w:t>
      </w:r>
      <w:r w:rsidRPr="0002155D">
        <w:rPr>
          <w:lang w:val="en-GB"/>
        </w:rPr>
        <w:fldChar w:fldCharType="end"/>
      </w:r>
      <w:r w:rsidRPr="0002155D">
        <w:rPr>
          <w:lang w:val="en-GB"/>
        </w:rPr>
        <w:t xml:space="preserve">: Module </w:t>
      </w:r>
      <w:r>
        <w:rPr>
          <w:lang w:val="en-GB"/>
        </w:rPr>
        <w:t>"</w:t>
      </w:r>
      <w:r w:rsidRPr="0002155D">
        <w:rPr>
          <w:lang w:val="en-GB"/>
        </w:rPr>
        <w:t>Split Verification Tasks</w:t>
      </w:r>
      <w:r>
        <w:rPr>
          <w:lang w:val="en-GB"/>
        </w:rPr>
        <w:t>"</w:t>
      </w:r>
    </w:p>
    <w:p w14:paraId="492F8A28" w14:textId="77777777" w:rsidR="00781BFA" w:rsidRPr="0002155D" w:rsidRDefault="00781BFA" w:rsidP="00781BFA">
      <w:pPr>
        <w:rPr>
          <w:rFonts w:cs="Times New Roman"/>
          <w:lang w:val="en-GB"/>
        </w:rPr>
      </w:pPr>
      <w:r w:rsidRPr="0002155D">
        <w:rPr>
          <w:rFonts w:cs="Times New Roman"/>
          <w:lang w:val="en-GB"/>
        </w:rPr>
        <w:t>The assessment of the receiver is split into three consecutive steps. First</w:t>
      </w:r>
      <w:r>
        <w:rPr>
          <w:rFonts w:cs="Times New Roman"/>
          <w:lang w:val="en-GB"/>
        </w:rPr>
        <w:t>,</w:t>
      </w:r>
      <w:r w:rsidRPr="0002155D">
        <w:rPr>
          <w:rFonts w:cs="Times New Roman"/>
          <w:lang w:val="en-GB"/>
        </w:rPr>
        <w:t xml:space="preserve"> the specification of the VAT-ID is verified. By this, the receiver signals that this purchase is on behalf of a company liable for turnover tax, and it is intended for usage in his business.</w:t>
      </w:r>
      <w:r w:rsidRPr="0002155D">
        <w:rPr>
          <w:rStyle w:val="Funotenzeichen"/>
          <w:rFonts w:cs="Times New Roman"/>
          <w:lang w:val="en-GB"/>
        </w:rPr>
        <w:footnoteReference w:id="5"/>
      </w:r>
      <w:r w:rsidRPr="0002155D">
        <w:rPr>
          <w:rFonts w:cs="Times New Roman"/>
          <w:lang w:val="en-GB"/>
        </w:rPr>
        <w:t xml:space="preserve"> Afterwards</w:t>
      </w:r>
      <w:r>
        <w:rPr>
          <w:rFonts w:cs="Times New Roman"/>
          <w:lang w:val="en-GB"/>
        </w:rPr>
        <w:t>,</w:t>
      </w:r>
      <w:r w:rsidRPr="0002155D">
        <w:rPr>
          <w:rFonts w:cs="Times New Roman"/>
          <w:lang w:val="en-GB"/>
        </w:rPr>
        <w:t xml:space="preserve"> the VAT-ID is checked for its validity, which, in Germany, can be done through the portal of the Federal Central Tax Office</w:t>
      </w:r>
      <w:r w:rsidRPr="0002155D">
        <w:rPr>
          <w:rStyle w:val="Funotenzeichen"/>
          <w:rFonts w:cs="Times New Roman"/>
          <w:lang w:val="en-GB"/>
        </w:rPr>
        <w:footnoteReference w:id="6"/>
      </w:r>
      <w:r w:rsidRPr="0002155D">
        <w:rPr>
          <w:rFonts w:cs="Times New Roman"/>
          <w:lang w:val="en-GB"/>
        </w:rPr>
        <w:t xml:space="preserve">. Although an invalid VAT-ID is handled equivalently to a missing VAT-ID, further inquiries to the receiver might be an appropriate escalation step before rejecting the intra-community supply. As a final step, the status of the receiver is retrieved from an internal customer database. The status signals whether a company is excluded from intra-community supplies according to some legal norm. Since this status is </w:t>
      </w:r>
      <w:r>
        <w:rPr>
          <w:rFonts w:cs="Times New Roman"/>
          <w:lang w:val="en-GB"/>
        </w:rPr>
        <w:t>somewhat</w:t>
      </w:r>
      <w:r w:rsidRPr="0002155D">
        <w:rPr>
          <w:rFonts w:cs="Times New Roman"/>
          <w:lang w:val="en-GB"/>
        </w:rPr>
        <w:t xml:space="preserve"> unlikely to change throughout the year</w:t>
      </w:r>
      <w:r>
        <w:rPr>
          <w:rFonts w:cs="Times New Roman"/>
          <w:lang w:val="en-GB"/>
        </w:rPr>
        <w:t>,</w:t>
      </w:r>
      <w:r w:rsidRPr="0002155D">
        <w:rPr>
          <w:rFonts w:cs="Times New Roman"/>
          <w:lang w:val="en-GB"/>
        </w:rPr>
        <w:t xml:space="preserve"> it is updated periodically in the database and not checked individually for every invoice.</w:t>
      </w:r>
    </w:p>
    <w:p w14:paraId="3FD40EC0" w14:textId="36B47DD4" w:rsidR="00781BFA" w:rsidRPr="0002155D" w:rsidRDefault="00EB37E9" w:rsidP="00781BFA">
      <w:pPr>
        <w:keepNext/>
        <w:rPr>
          <w:lang w:val="en-GB"/>
        </w:rPr>
      </w:pPr>
      <w:r>
        <w:rPr>
          <w:noProof/>
          <w:lang w:val="en-GB"/>
        </w:rPr>
        <w:lastRenderedPageBreak/>
        <w:drawing>
          <wp:inline distT="0" distB="0" distL="0" distR="0" wp14:anchorId="454C0741" wp14:editId="279BFFFD">
            <wp:extent cx="4211955" cy="4813540"/>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rcRect b="12719"/>
                    <a:stretch/>
                  </pic:blipFill>
                  <pic:spPr bwMode="auto">
                    <a:xfrm>
                      <a:off x="0" y="0"/>
                      <a:ext cx="4211955" cy="4813540"/>
                    </a:xfrm>
                    <a:prstGeom prst="rect">
                      <a:avLst/>
                    </a:prstGeom>
                    <a:ln>
                      <a:noFill/>
                    </a:ln>
                    <a:extLst>
                      <a:ext uri="{53640926-AAD7-44D8-BBD7-CCE9431645EC}">
                        <a14:shadowObscured xmlns:a14="http://schemas.microsoft.com/office/drawing/2010/main"/>
                      </a:ext>
                    </a:extLst>
                  </pic:spPr>
                </pic:pic>
              </a:graphicData>
            </a:graphic>
          </wp:inline>
        </w:drawing>
      </w:r>
    </w:p>
    <w:p w14:paraId="4546BD02" w14:textId="04A4B277" w:rsidR="00781BFA" w:rsidRPr="0002155D" w:rsidRDefault="00781BFA" w:rsidP="00781BFA">
      <w:pPr>
        <w:pStyle w:val="Beschriftung"/>
        <w:rPr>
          <w:rFonts w:cs="Times New Roman"/>
          <w:highlight w:val="green"/>
          <w:lang w:val="en-GB"/>
        </w:rPr>
      </w:pPr>
      <w:r w:rsidRPr="0002155D">
        <w:rPr>
          <w:lang w:val="en-GB"/>
        </w:rPr>
        <w:t xml:space="preserve">Figure </w:t>
      </w:r>
      <w:r w:rsidRPr="0002155D">
        <w:rPr>
          <w:lang w:val="en-GB"/>
        </w:rPr>
        <w:fldChar w:fldCharType="begin"/>
      </w:r>
      <w:r w:rsidRPr="0002155D">
        <w:rPr>
          <w:lang w:val="en-GB"/>
        </w:rPr>
        <w:instrText xml:space="preserve"> SEQ Figure \* ARABIC </w:instrText>
      </w:r>
      <w:r w:rsidRPr="0002155D">
        <w:rPr>
          <w:lang w:val="en-GB"/>
        </w:rPr>
        <w:fldChar w:fldCharType="separate"/>
      </w:r>
      <w:r w:rsidR="00D53826">
        <w:rPr>
          <w:noProof/>
          <w:lang w:val="en-GB"/>
        </w:rPr>
        <w:t>6</w:t>
      </w:r>
      <w:r w:rsidRPr="0002155D">
        <w:rPr>
          <w:lang w:val="en-GB"/>
        </w:rPr>
        <w:fldChar w:fldCharType="end"/>
      </w:r>
      <w:r w:rsidRPr="0002155D">
        <w:rPr>
          <w:lang w:val="en-GB"/>
        </w:rPr>
        <w:t>: Module "Verify Receiver"</w:t>
      </w:r>
    </w:p>
    <w:p w14:paraId="45CDC6B9" w14:textId="77777777" w:rsidR="00781BFA" w:rsidRPr="0002155D" w:rsidRDefault="00781BFA" w:rsidP="00781BFA">
      <w:pPr>
        <w:rPr>
          <w:rFonts w:asciiTheme="minorHAnsi" w:hAnsiTheme="minorHAnsi" w:cs="Times New Roman"/>
          <w:lang w:val="en-GB"/>
        </w:rPr>
      </w:pPr>
      <w:r w:rsidRPr="0002155D">
        <w:rPr>
          <w:rFonts w:cs="Times New Roman"/>
          <w:lang w:val="en-GB"/>
        </w:rPr>
        <w:t xml:space="preserve">This premise will also depend on the company in focus. </w:t>
      </w:r>
      <w:r>
        <w:rPr>
          <w:rFonts w:cs="Times New Roman"/>
          <w:lang w:val="en-GB"/>
        </w:rPr>
        <w:t>For example, a</w:t>
      </w:r>
      <w:r w:rsidRPr="0002155D">
        <w:rPr>
          <w:rFonts w:cs="Times New Roman"/>
          <w:lang w:val="en-GB"/>
        </w:rPr>
        <w:t xml:space="preserve"> manufacturing enterprise </w:t>
      </w:r>
      <w:r>
        <w:rPr>
          <w:rFonts w:cs="Times New Roman"/>
          <w:lang w:val="en-GB"/>
        </w:rPr>
        <w:t>will likely have just a handfu</w:t>
      </w:r>
      <w:r w:rsidRPr="0002155D">
        <w:rPr>
          <w:rFonts w:cs="Times New Roman"/>
          <w:lang w:val="en-GB"/>
        </w:rPr>
        <w:t>l of clients in fixed countries. In this case</w:t>
      </w:r>
      <w:r>
        <w:rPr>
          <w:rFonts w:cs="Times New Roman"/>
          <w:lang w:val="en-GB"/>
        </w:rPr>
        <w:t>,</w:t>
      </w:r>
      <w:r w:rsidRPr="0002155D">
        <w:rPr>
          <w:rFonts w:cs="Times New Roman"/>
          <w:lang w:val="en-GB"/>
        </w:rPr>
        <w:t xml:space="preserve"> the partner status might be updated </w:t>
      </w:r>
      <w:r>
        <w:rPr>
          <w:rFonts w:cs="Times New Roman"/>
          <w:lang w:val="en-GB"/>
        </w:rPr>
        <w:t>yearly</w:t>
      </w:r>
      <w:r w:rsidRPr="0002155D">
        <w:rPr>
          <w:rFonts w:cs="Times New Roman"/>
          <w:lang w:val="en-GB"/>
        </w:rPr>
        <w:t xml:space="preserve"> in a spreadsheet or the ERP</w:t>
      </w:r>
      <w:r>
        <w:rPr>
          <w:rFonts w:cs="Times New Roman"/>
          <w:lang w:val="en-GB"/>
        </w:rPr>
        <w:t xml:space="preserve"> </w:t>
      </w:r>
      <w:r w:rsidRPr="0002155D">
        <w:rPr>
          <w:rFonts w:cs="Times New Roman"/>
          <w:lang w:val="en-GB"/>
        </w:rPr>
        <w:t>system. An online retailer</w:t>
      </w:r>
      <w:r>
        <w:rPr>
          <w:rFonts w:cs="Times New Roman"/>
          <w:lang w:val="en-GB"/>
        </w:rPr>
        <w:t>,</w:t>
      </w:r>
      <w:r w:rsidRPr="0002155D">
        <w:rPr>
          <w:rFonts w:cs="Times New Roman"/>
          <w:lang w:val="en-GB"/>
        </w:rPr>
        <w:t xml:space="preserve"> on the other hand</w:t>
      </w:r>
      <w:r>
        <w:rPr>
          <w:rFonts w:cs="Times New Roman"/>
          <w:lang w:val="en-GB"/>
        </w:rPr>
        <w:t>,</w:t>
      </w:r>
      <w:r w:rsidRPr="0002155D">
        <w:rPr>
          <w:rFonts w:cs="Times New Roman"/>
          <w:lang w:val="en-GB"/>
        </w:rPr>
        <w:t xml:space="preserve"> would encounter new clients from different countries daily. In this setting, the verification of the partner status itself should as well be modelled and automated.</w:t>
      </w:r>
    </w:p>
    <w:p w14:paraId="024D8E9D" w14:textId="77777777" w:rsidR="00781BFA" w:rsidRPr="0002155D" w:rsidRDefault="00781BFA" w:rsidP="00781BFA">
      <w:pPr>
        <w:rPr>
          <w:rFonts w:cs="Times New Roman"/>
          <w:lang w:val="en-GB"/>
        </w:rPr>
      </w:pPr>
      <w:r w:rsidRPr="0002155D">
        <w:rPr>
          <w:rFonts w:cs="Times New Roman"/>
          <w:lang w:val="en-GB"/>
        </w:rPr>
        <w:lastRenderedPageBreak/>
        <w:t>The verification of the supplier follows a similar pattern to that of the receiver</w:t>
      </w:r>
      <w:r>
        <w:rPr>
          <w:rFonts w:cs="Times New Roman"/>
          <w:lang w:val="en-GB"/>
        </w:rPr>
        <w:t>,</w:t>
      </w:r>
      <w:r w:rsidRPr="0002155D">
        <w:rPr>
          <w:rFonts w:cs="Times New Roman"/>
          <w:lang w:val="en-GB"/>
        </w:rPr>
        <w:t xml:space="preserve"> with the distinction that a supplier does not specify a VAT-ID. Therefore, it is only the status in the database that is verified.</w:t>
      </w:r>
    </w:p>
    <w:p w14:paraId="7464C39F" w14:textId="77777777" w:rsidR="00781BFA" w:rsidRPr="0002155D" w:rsidRDefault="00781BFA" w:rsidP="00781BFA">
      <w:pPr>
        <w:rPr>
          <w:rFonts w:cs="Times New Roman"/>
          <w:lang w:val="en-GB"/>
        </w:rPr>
      </w:pPr>
      <w:r w:rsidRPr="0002155D">
        <w:rPr>
          <w:rFonts w:cs="Times New Roman"/>
          <w:lang w:val="en-GB"/>
        </w:rPr>
        <w:t>The verification of the delivery is divided into two steps. Firstly, the requirement of delivery between two distinct EU countries is verified. This is achieved by comparing the two countries of each partner involved. For the delivery verification</w:t>
      </w:r>
      <w:r>
        <w:rPr>
          <w:rFonts w:cs="Times New Roman"/>
          <w:lang w:val="en-GB"/>
        </w:rPr>
        <w:t>,</w:t>
      </w:r>
      <w:r w:rsidRPr="0002155D">
        <w:rPr>
          <w:rFonts w:cs="Times New Roman"/>
          <w:lang w:val="en-GB"/>
        </w:rPr>
        <w:t xml:space="preserve"> it is not sufficient that two EU</w:t>
      </w:r>
      <w:r>
        <w:rPr>
          <w:rFonts w:cs="Times New Roman"/>
          <w:lang w:val="en-GB"/>
        </w:rPr>
        <w:t xml:space="preserve"> </w:t>
      </w:r>
      <w:r w:rsidRPr="0002155D">
        <w:rPr>
          <w:rFonts w:cs="Times New Roman"/>
          <w:lang w:val="en-GB"/>
        </w:rPr>
        <w:t>companies are involved. The proper execution of the product movement from one country to another must be documented via confirmation of arrival. Therefore, as a next step, the existence of confirmation of arrival relating to this order is ensured.</w:t>
      </w:r>
    </w:p>
    <w:p w14:paraId="58B19982" w14:textId="6DEC7C81" w:rsidR="00781BFA" w:rsidRPr="0002155D" w:rsidRDefault="00707F88" w:rsidP="00781BFA">
      <w:pPr>
        <w:keepNext/>
        <w:rPr>
          <w:lang w:val="en-GB"/>
        </w:rPr>
      </w:pPr>
      <w:r>
        <w:rPr>
          <w:noProof/>
          <w:lang w:val="en-GB"/>
        </w:rPr>
        <w:drawing>
          <wp:inline distT="0" distB="0" distL="0" distR="0" wp14:anchorId="24715DC5" wp14:editId="4A6509E7">
            <wp:extent cx="4211955" cy="18313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211955" cy="1831340"/>
                    </a:xfrm>
                    <a:prstGeom prst="rect">
                      <a:avLst/>
                    </a:prstGeom>
                  </pic:spPr>
                </pic:pic>
              </a:graphicData>
            </a:graphic>
          </wp:inline>
        </w:drawing>
      </w:r>
    </w:p>
    <w:p w14:paraId="305AEC9D" w14:textId="58D50C0C" w:rsidR="00781BFA" w:rsidRPr="0002155D" w:rsidRDefault="00781BFA" w:rsidP="00781BFA">
      <w:pPr>
        <w:pStyle w:val="Beschriftung"/>
        <w:rPr>
          <w:rFonts w:cs="Times New Roman"/>
          <w:lang w:val="en-GB"/>
        </w:rPr>
      </w:pPr>
      <w:r w:rsidRPr="0002155D">
        <w:rPr>
          <w:lang w:val="en-GB"/>
        </w:rPr>
        <w:t xml:space="preserve">Figure </w:t>
      </w:r>
      <w:r w:rsidRPr="0002155D">
        <w:rPr>
          <w:lang w:val="en-GB"/>
        </w:rPr>
        <w:fldChar w:fldCharType="begin"/>
      </w:r>
      <w:r w:rsidRPr="0002155D">
        <w:rPr>
          <w:lang w:val="en-GB"/>
        </w:rPr>
        <w:instrText xml:space="preserve"> SEQ Figure \* ARABIC </w:instrText>
      </w:r>
      <w:r w:rsidRPr="0002155D">
        <w:rPr>
          <w:lang w:val="en-GB"/>
        </w:rPr>
        <w:fldChar w:fldCharType="separate"/>
      </w:r>
      <w:r w:rsidR="00D53826">
        <w:rPr>
          <w:noProof/>
          <w:lang w:val="en-GB"/>
        </w:rPr>
        <w:t>7</w:t>
      </w:r>
      <w:r w:rsidRPr="0002155D">
        <w:rPr>
          <w:lang w:val="en-GB"/>
        </w:rPr>
        <w:fldChar w:fldCharType="end"/>
      </w:r>
      <w:r w:rsidRPr="0002155D">
        <w:rPr>
          <w:lang w:val="en-GB"/>
        </w:rPr>
        <w:t>: Module "Verify delivery"</w:t>
      </w:r>
    </w:p>
    <w:p w14:paraId="2B341B74" w14:textId="77777777" w:rsidR="00781BFA" w:rsidRPr="0002155D" w:rsidRDefault="00781BFA" w:rsidP="00781BFA">
      <w:pPr>
        <w:rPr>
          <w:rStyle w:val="tagtrans"/>
          <w:lang w:val="en-GB"/>
        </w:rPr>
      </w:pPr>
      <w:r>
        <w:rPr>
          <w:rStyle w:val="tagtrans"/>
          <w:lang w:val="en-GB"/>
        </w:rPr>
        <w:t>National law and court decisions strongly influence the exact formal requirements of a valid confirmation of arrival</w:t>
      </w:r>
      <w:r w:rsidRPr="0002155D">
        <w:rPr>
          <w:rStyle w:val="tagtrans"/>
          <w:lang w:val="en-GB"/>
        </w:rPr>
        <w:t xml:space="preserve">. </w:t>
      </w:r>
      <w:sdt>
        <w:sdtPr>
          <w:rPr>
            <w:rStyle w:val="tagtrans"/>
            <w:lang w:val="en-GB"/>
          </w:rPr>
          <w:id w:val="-1719352778"/>
          <w:citation/>
        </w:sdtPr>
        <w:sdtEndPr>
          <w:rPr>
            <w:rStyle w:val="tagtrans"/>
          </w:rPr>
        </w:sdtEndPr>
        <w:sdtContent>
          <w:r w:rsidRPr="0002155D">
            <w:rPr>
              <w:rStyle w:val="tagtrans"/>
              <w:lang w:val="en-GB"/>
            </w:rPr>
            <w:fldChar w:fldCharType="begin"/>
          </w:r>
          <w:r w:rsidRPr="0002155D">
            <w:rPr>
              <w:rStyle w:val="tagtrans"/>
              <w:lang w:val="en-GB"/>
            </w:rPr>
            <w:instrText xml:space="preserve">CITATION Lan17 \p "144 ff." \l 1031 </w:instrText>
          </w:r>
          <w:r w:rsidRPr="0002155D">
            <w:rPr>
              <w:rStyle w:val="tagtrans"/>
              <w:lang w:val="en-GB"/>
            </w:rPr>
            <w:fldChar w:fldCharType="separate"/>
          </w:r>
          <w:r w:rsidRPr="0002155D">
            <w:rPr>
              <w:noProof/>
              <w:lang w:val="en-GB"/>
            </w:rPr>
            <w:t>(Langhein, 2017, S. 144 ff.)</w:t>
          </w:r>
          <w:r w:rsidRPr="0002155D">
            <w:rPr>
              <w:rStyle w:val="tagtrans"/>
              <w:lang w:val="en-GB"/>
            </w:rPr>
            <w:fldChar w:fldCharType="end"/>
          </w:r>
        </w:sdtContent>
      </w:sdt>
      <w:r w:rsidRPr="0002155D">
        <w:rPr>
          <w:rStyle w:val="tagtrans"/>
          <w:lang w:val="en-GB"/>
        </w:rPr>
        <w:t xml:space="preserve"> The detailed validation of a CoA is therefore abstracted in this context. </w:t>
      </w:r>
      <w:r>
        <w:rPr>
          <w:rStyle w:val="tagtrans"/>
          <w:lang w:val="en-GB"/>
        </w:rPr>
        <w:t>However, i</w:t>
      </w:r>
      <w:r w:rsidRPr="0002155D">
        <w:rPr>
          <w:rStyle w:val="tagtrans"/>
          <w:lang w:val="en-GB"/>
        </w:rPr>
        <w:t>n a practical setting, the verification of the CoA itself should be modelled as an inner module containing the detailed verification steps.</w:t>
      </w:r>
    </w:p>
    <w:p w14:paraId="090DF182" w14:textId="77777777" w:rsidR="00781BFA" w:rsidRPr="0002155D" w:rsidRDefault="00781BFA" w:rsidP="00781BFA">
      <w:pPr>
        <w:rPr>
          <w:rFonts w:cs="Times New Roman"/>
          <w:lang w:val="en-GB"/>
        </w:rPr>
      </w:pPr>
      <w:r w:rsidRPr="0002155D">
        <w:rPr>
          <w:rFonts w:cs="Times New Roman"/>
          <w:lang w:val="en-GB"/>
        </w:rPr>
        <w:t xml:space="preserve">The remaining verification task checks for each product if </w:t>
      </w:r>
      <w:r>
        <w:rPr>
          <w:rFonts w:cs="Times New Roman"/>
          <w:lang w:val="en-GB"/>
        </w:rPr>
        <w:t xml:space="preserve">it is </w:t>
      </w:r>
      <w:r w:rsidRPr="0002155D">
        <w:rPr>
          <w:rFonts w:cs="Times New Roman"/>
          <w:lang w:val="en-GB"/>
        </w:rPr>
        <w:t xml:space="preserve">subject to the VAT in the destination country. Although this step is part of our model, the explicit implementation will depend on the required rigorousness defined by the company and the products in question. </w:t>
      </w:r>
      <w:r>
        <w:rPr>
          <w:rFonts w:cs="Times New Roman"/>
          <w:lang w:val="en-GB"/>
        </w:rPr>
        <w:t>Many exceptions</w:t>
      </w:r>
      <w:r w:rsidRPr="0002155D">
        <w:rPr>
          <w:rFonts w:cs="Times New Roman"/>
          <w:lang w:val="en-GB"/>
        </w:rPr>
        <w:t xml:space="preserve"> differ throughout the different member states of the EU. Depending on the products sold by the company</w:t>
      </w:r>
      <w:r>
        <w:rPr>
          <w:rFonts w:cs="Times New Roman"/>
          <w:lang w:val="en-GB"/>
        </w:rPr>
        <w:t>,</w:t>
      </w:r>
      <w:r w:rsidRPr="0002155D">
        <w:rPr>
          <w:rFonts w:cs="Times New Roman"/>
          <w:lang w:val="en-GB"/>
        </w:rPr>
        <w:t xml:space="preserve"> several approaches might be recommendable: assume </w:t>
      </w:r>
      <w:r>
        <w:rPr>
          <w:rFonts w:cs="Times New Roman"/>
          <w:lang w:val="en-GB"/>
        </w:rPr>
        <w:t xml:space="preserve">the </w:t>
      </w:r>
      <w:r w:rsidRPr="0002155D">
        <w:rPr>
          <w:rFonts w:cs="Times New Roman"/>
          <w:lang w:val="en-GB"/>
        </w:rPr>
        <w:t>product is always subject to VAT, infer the result from the product category or hand over each case to a human worker and process the result. In our model, we infer the tax liability from the product category.</w:t>
      </w:r>
    </w:p>
    <w:p w14:paraId="76F6BCD3" w14:textId="62B3F8E8" w:rsidR="00781BFA" w:rsidRPr="0002155D" w:rsidRDefault="00707F88" w:rsidP="00781BFA">
      <w:pPr>
        <w:keepNext/>
        <w:rPr>
          <w:lang w:val="en-GB"/>
        </w:rPr>
      </w:pPr>
      <w:r>
        <w:rPr>
          <w:noProof/>
          <w:lang w:val="en-GB"/>
        </w:rPr>
        <w:lastRenderedPageBreak/>
        <w:drawing>
          <wp:inline distT="0" distB="0" distL="0" distR="0" wp14:anchorId="2D60BA8B" wp14:editId="580119C7">
            <wp:extent cx="4211955" cy="1749425"/>
            <wp:effectExtent l="0" t="0" r="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211955" cy="1749425"/>
                    </a:xfrm>
                    <a:prstGeom prst="rect">
                      <a:avLst/>
                    </a:prstGeom>
                  </pic:spPr>
                </pic:pic>
              </a:graphicData>
            </a:graphic>
          </wp:inline>
        </w:drawing>
      </w:r>
    </w:p>
    <w:p w14:paraId="72B6D81F" w14:textId="1C86FF9F" w:rsidR="00781BFA" w:rsidRPr="0002155D" w:rsidRDefault="00781BFA" w:rsidP="00781BFA">
      <w:pPr>
        <w:pStyle w:val="Beschriftung"/>
        <w:rPr>
          <w:rFonts w:cs="Times New Roman"/>
          <w:lang w:val="en-GB"/>
        </w:rPr>
      </w:pPr>
      <w:r w:rsidRPr="0002155D">
        <w:rPr>
          <w:lang w:val="en-GB"/>
        </w:rPr>
        <w:t xml:space="preserve">Figure </w:t>
      </w:r>
      <w:r w:rsidRPr="0002155D">
        <w:rPr>
          <w:lang w:val="en-GB"/>
        </w:rPr>
        <w:fldChar w:fldCharType="begin"/>
      </w:r>
      <w:r w:rsidRPr="0002155D">
        <w:rPr>
          <w:lang w:val="en-GB"/>
        </w:rPr>
        <w:instrText xml:space="preserve"> SEQ Figure \* ARABIC </w:instrText>
      </w:r>
      <w:r w:rsidRPr="0002155D">
        <w:rPr>
          <w:lang w:val="en-GB"/>
        </w:rPr>
        <w:fldChar w:fldCharType="separate"/>
      </w:r>
      <w:r w:rsidR="00D53826">
        <w:rPr>
          <w:noProof/>
          <w:lang w:val="en-GB"/>
        </w:rPr>
        <w:t>8</w:t>
      </w:r>
      <w:r w:rsidRPr="0002155D">
        <w:rPr>
          <w:lang w:val="en-GB"/>
        </w:rPr>
        <w:fldChar w:fldCharType="end"/>
      </w:r>
      <w:r w:rsidRPr="0002155D">
        <w:rPr>
          <w:lang w:val="en-GB"/>
        </w:rPr>
        <w:t>: Module "Verify Products"</w:t>
      </w:r>
    </w:p>
    <w:p w14:paraId="6B8E05A2" w14:textId="77777777" w:rsidR="00781BFA" w:rsidRPr="0002155D" w:rsidRDefault="00781BFA" w:rsidP="00781BFA">
      <w:pPr>
        <w:rPr>
          <w:rFonts w:cs="Times New Roman"/>
          <w:lang w:val="en-GB"/>
        </w:rPr>
      </w:pPr>
      <w:r>
        <w:rPr>
          <w:rFonts w:cs="Times New Roman"/>
          <w:lang w:val="en-GB"/>
        </w:rPr>
        <w:t>Like the invalid VAT-ID, another escalation step to handle mixed orders might be recommendable, but mixed orders are treated as non-VAT liable for simplicity reasons</w:t>
      </w:r>
      <w:r w:rsidRPr="0002155D">
        <w:rPr>
          <w:rFonts w:cs="Times New Roman"/>
          <w:lang w:val="en-GB"/>
        </w:rPr>
        <w:t>.</w:t>
      </w:r>
    </w:p>
    <w:p w14:paraId="427B191A" w14:textId="77777777" w:rsidR="00781BFA" w:rsidRPr="0002155D" w:rsidRDefault="00781BFA" w:rsidP="00781BFA">
      <w:pPr>
        <w:rPr>
          <w:rFonts w:cs="Times New Roman"/>
          <w:noProof/>
          <w:lang w:val="en-GB"/>
        </w:rPr>
      </w:pPr>
      <w:r w:rsidRPr="0002155D">
        <w:rPr>
          <w:rFonts w:cs="Times New Roman"/>
          <w:lang w:val="en-GB"/>
        </w:rPr>
        <w:t>After each verification has been executed concurrently, the intermediate results are merged into a final one in the module Merge Verification results. This is basically a logical join on all the possible combinations of individual module outcomes and is identical to the merging performed by a legal expert.</w:t>
      </w:r>
    </w:p>
    <w:p w14:paraId="077EE107" w14:textId="77777777" w:rsidR="00781BFA" w:rsidRPr="0002155D" w:rsidRDefault="00781BFA" w:rsidP="00781BFA">
      <w:pPr>
        <w:pStyle w:val="berschrift2"/>
        <w:keepLines/>
        <w:numPr>
          <w:ilvl w:val="1"/>
          <w:numId w:val="28"/>
        </w:numPr>
        <w:spacing w:before="40" w:after="0"/>
        <w:rPr>
          <w:lang w:val="en-GB"/>
        </w:rPr>
      </w:pPr>
      <w:r w:rsidRPr="0002155D">
        <w:rPr>
          <w:lang w:val="en-GB"/>
        </w:rPr>
        <w:t>Intra-community supply: Verification example</w:t>
      </w:r>
    </w:p>
    <w:p w14:paraId="298B7035" w14:textId="77777777" w:rsidR="00781BFA" w:rsidRPr="0002155D" w:rsidRDefault="00781BFA" w:rsidP="00781BFA">
      <w:pPr>
        <w:rPr>
          <w:rFonts w:asciiTheme="minorHAnsi" w:hAnsiTheme="minorHAnsi" w:cs="Times New Roman"/>
          <w:lang w:val="en-GB"/>
        </w:rPr>
      </w:pPr>
      <w:r w:rsidRPr="0002155D">
        <w:rPr>
          <w:rFonts w:cs="Times New Roman"/>
          <w:lang w:val="en-GB"/>
        </w:rPr>
        <w:t xml:space="preserve">To present the necessary steps in the legal assessment of VAT exemption, the verification schema is presented by one exemplary case. The </w:t>
      </w:r>
      <w:r>
        <w:rPr>
          <w:rFonts w:cs="Times New Roman"/>
          <w:lang w:val="en-GB"/>
        </w:rPr>
        <w:t>evaluation</w:t>
      </w:r>
      <w:r w:rsidRPr="0002155D">
        <w:rPr>
          <w:rFonts w:cs="Times New Roman"/>
          <w:lang w:val="en-GB"/>
        </w:rPr>
        <w:t xml:space="preserve"> is generally based on the German VAT</w:t>
      </w:r>
      <w:r>
        <w:rPr>
          <w:rFonts w:cs="Times New Roman"/>
          <w:lang w:val="en-GB"/>
        </w:rPr>
        <w:t xml:space="preserve"> </w:t>
      </w:r>
      <w:r w:rsidRPr="0002155D">
        <w:rPr>
          <w:rFonts w:cs="Times New Roman"/>
          <w:lang w:val="en-GB"/>
        </w:rPr>
        <w:t>act.</w:t>
      </w:r>
      <w:r w:rsidRPr="0002155D">
        <w:rPr>
          <w:rStyle w:val="Funotenzeichen"/>
          <w:rFonts w:cs="Times New Roman"/>
          <w:lang w:val="en-GB"/>
        </w:rPr>
        <w:footnoteReference w:id="7"/>
      </w:r>
      <w:r w:rsidRPr="0002155D">
        <w:rPr>
          <w:rFonts w:cs="Times New Roman"/>
          <w:lang w:val="en-GB"/>
        </w:rPr>
        <w:t xml:space="preserve"> However, not only the national legal situation is decisive, but also the legal situation in </w:t>
      </w:r>
      <w:r>
        <w:rPr>
          <w:rFonts w:cs="Times New Roman"/>
          <w:lang w:val="en-GB"/>
        </w:rPr>
        <w:t xml:space="preserve">the </w:t>
      </w:r>
      <w:r w:rsidRPr="0002155D">
        <w:rPr>
          <w:rFonts w:cs="Times New Roman"/>
          <w:lang w:val="en-GB"/>
        </w:rPr>
        <w:t xml:space="preserve">other Member States (e.g., the delivery and the acquisition thresholds are specific to each country). </w:t>
      </w:r>
      <w:r>
        <w:rPr>
          <w:rFonts w:cs="Times New Roman"/>
          <w:lang w:val="en-GB"/>
        </w:rPr>
        <w:t>Furthermore, t</w:t>
      </w:r>
      <w:r w:rsidRPr="0002155D">
        <w:rPr>
          <w:rFonts w:cs="Times New Roman"/>
          <w:lang w:val="en-GB"/>
        </w:rPr>
        <w:t>he national laws and court decision</w:t>
      </w:r>
      <w:r>
        <w:rPr>
          <w:rFonts w:cs="Times New Roman"/>
          <w:lang w:val="en-GB"/>
        </w:rPr>
        <w:t>s</w:t>
      </w:r>
      <w:r w:rsidRPr="0002155D">
        <w:rPr>
          <w:rFonts w:cs="Times New Roman"/>
          <w:lang w:val="en-GB"/>
        </w:rPr>
        <w:t xml:space="preserve"> further influence the formal requirements concerning the invoice and the assessment documentation.</w:t>
      </w:r>
    </w:p>
    <w:p w14:paraId="655C709A" w14:textId="77777777" w:rsidR="00781BFA" w:rsidRPr="0002155D" w:rsidRDefault="00781BFA" w:rsidP="00781BFA">
      <w:pPr>
        <w:rPr>
          <w:rFonts w:asciiTheme="minorHAnsi" w:hAnsiTheme="minorHAnsi" w:cs="Times New Roman"/>
          <w:lang w:val="en-GB"/>
        </w:rPr>
      </w:pPr>
      <w:r w:rsidRPr="0002155D">
        <w:rPr>
          <w:rFonts w:cs="Times New Roman"/>
          <w:lang w:val="en-GB"/>
        </w:rPr>
        <w:t xml:space="preserve">In this case, the Spanish Medical supplies SE </w:t>
      </w:r>
      <w:r>
        <w:rPr>
          <w:rFonts w:cs="Times New Roman"/>
          <w:lang w:val="en-GB"/>
        </w:rPr>
        <w:t>delivers</w:t>
      </w:r>
      <w:r w:rsidRPr="0002155D">
        <w:rPr>
          <w:rFonts w:cs="Times New Roman"/>
          <w:lang w:val="en-GB"/>
        </w:rPr>
        <w:t xml:space="preserve"> cough s</w:t>
      </w:r>
      <w:r>
        <w:rPr>
          <w:rFonts w:cs="Times New Roman"/>
          <w:lang w:val="en-GB"/>
        </w:rPr>
        <w:t>y</w:t>
      </w:r>
      <w:r w:rsidRPr="0002155D">
        <w:rPr>
          <w:rFonts w:cs="Times New Roman"/>
          <w:lang w:val="en-GB"/>
        </w:rPr>
        <w:t xml:space="preserve">rup to the German MyCorp GmbH. Cough sirup belongs to the product category of </w:t>
      </w:r>
      <w:r w:rsidRPr="0002155D">
        <w:rPr>
          <w:rFonts w:cs="Times New Roman"/>
          <w:lang w:val="en-GB"/>
        </w:rPr>
        <w:lastRenderedPageBreak/>
        <w:t>medicine and is subject to the VAT in Germany. Moreover, the Germany Company supplied its valid VAT-ID when placing the order. This action signals the Medical Supplies SE that MyCorp GmbH is liable to the VAT in Germany and that the cough s</w:t>
      </w:r>
      <w:r>
        <w:rPr>
          <w:rFonts w:cs="Times New Roman"/>
          <w:lang w:val="en-GB"/>
        </w:rPr>
        <w:t>y</w:t>
      </w:r>
      <w:r w:rsidRPr="0002155D">
        <w:rPr>
          <w:rFonts w:cs="Times New Roman"/>
          <w:lang w:val="en-GB"/>
        </w:rPr>
        <w:t xml:space="preserve">rup will be used in the </w:t>
      </w:r>
      <w:r>
        <w:rPr>
          <w:rFonts w:cs="Times New Roman"/>
          <w:lang w:val="en-GB"/>
        </w:rPr>
        <w:t>company's business context</w:t>
      </w:r>
      <w:r w:rsidRPr="0002155D">
        <w:rPr>
          <w:rFonts w:cs="Times New Roman"/>
          <w:lang w:val="en-GB"/>
        </w:rPr>
        <w:t>. MyCorp GmbH and medical supplies SE are known business partners</w:t>
      </w:r>
      <w:r>
        <w:rPr>
          <w:rFonts w:cs="Times New Roman"/>
          <w:lang w:val="en-GB"/>
        </w:rPr>
        <w:t>;</w:t>
      </w:r>
      <w:r w:rsidRPr="0002155D">
        <w:rPr>
          <w:rFonts w:cs="Times New Roman"/>
          <w:lang w:val="en-GB"/>
        </w:rPr>
        <w:t xml:space="preserve"> therefore, it has been verified for each company that they </w:t>
      </w:r>
      <w:r>
        <w:rPr>
          <w:rFonts w:cs="Times New Roman"/>
          <w:lang w:val="en-GB"/>
        </w:rPr>
        <w:t>hav</w:t>
      </w:r>
      <w:r w:rsidRPr="0002155D">
        <w:rPr>
          <w:rFonts w:cs="Times New Roman"/>
          <w:lang w:val="en-GB"/>
        </w:rPr>
        <w:t xml:space="preserve">e not </w:t>
      </w:r>
      <w:r>
        <w:rPr>
          <w:rFonts w:cs="Times New Roman"/>
          <w:lang w:val="en-GB"/>
        </w:rPr>
        <w:t xml:space="preserve">been </w:t>
      </w:r>
      <w:r w:rsidRPr="0002155D">
        <w:rPr>
          <w:rFonts w:cs="Times New Roman"/>
          <w:lang w:val="en-GB"/>
        </w:rPr>
        <w:t>excluded from vat exemption through some legal norm.</w:t>
      </w:r>
    </w:p>
    <w:p w14:paraId="2658AB80" w14:textId="0A28065D" w:rsidR="00781BFA" w:rsidRPr="0002155D" w:rsidRDefault="00781BFA" w:rsidP="00781BFA">
      <w:pPr>
        <w:rPr>
          <w:rFonts w:cs="Times New Roman"/>
          <w:highlight w:val="red"/>
          <w:lang w:val="en-GB"/>
        </w:rPr>
      </w:pPr>
      <w:r w:rsidRPr="0002155D">
        <w:rPr>
          <w:rFonts w:cs="Times New Roman"/>
          <w:lang w:val="en-GB"/>
        </w:rPr>
        <w:t xml:space="preserve">The statics of this verification example are shown in Table 2, where each sort is initialised with its corresponding data elements. The events of </w:t>
      </w:r>
      <w:r>
        <w:rPr>
          <w:rFonts w:cs="Times New Roman"/>
          <w:lang w:val="en-GB"/>
        </w:rPr>
        <w:t xml:space="preserve">the </w:t>
      </w:r>
      <w:r w:rsidRPr="0002155D">
        <w:rPr>
          <w:rFonts w:cs="Times New Roman"/>
          <w:lang w:val="en-GB"/>
        </w:rPr>
        <w:t>verification process are aligned with their co</w:t>
      </w:r>
      <w:r>
        <w:rPr>
          <w:rFonts w:cs="Times New Roman"/>
          <w:lang w:val="en-GB"/>
        </w:rPr>
        <w:t>nnected</w:t>
      </w:r>
      <w:r w:rsidRPr="0002155D">
        <w:rPr>
          <w:rFonts w:cs="Times New Roman"/>
          <w:lang w:val="en-GB"/>
        </w:rPr>
        <w:t xml:space="preserve"> data objects in the distributed run of the schema. </w:t>
      </w:r>
      <w:r w:rsidR="00B4558F">
        <w:rPr>
          <w:rFonts w:cs="Times New Roman"/>
          <w:lang w:val="en-GB"/>
        </w:rPr>
        <w:t>Figure 9 shows</w:t>
      </w:r>
      <w:r w:rsidRPr="0002155D">
        <w:rPr>
          <w:rFonts w:cs="Times New Roman"/>
          <w:lang w:val="en-GB"/>
        </w:rPr>
        <w:t xml:space="preserve"> </w:t>
      </w:r>
      <w:r w:rsidR="00E31089">
        <w:rPr>
          <w:rFonts w:cs="Times New Roman"/>
          <w:lang w:val="en-GB"/>
        </w:rPr>
        <w:t>t</w:t>
      </w:r>
      <w:r w:rsidRPr="0002155D">
        <w:rPr>
          <w:rFonts w:cs="Times New Roman"/>
          <w:lang w:val="en-GB"/>
        </w:rPr>
        <w:t xml:space="preserve">he distributed run </w:t>
      </w:r>
      <w:r w:rsidR="00B4558F">
        <w:rPr>
          <w:rFonts w:cs="Times New Roman"/>
          <w:lang w:val="en-GB"/>
        </w:rPr>
        <w:t xml:space="preserve">for this example and </w:t>
      </w:r>
      <w:r w:rsidRPr="0002155D">
        <w:rPr>
          <w:rFonts w:cs="Times New Roman"/>
          <w:lang w:val="en-GB"/>
        </w:rPr>
        <w:t xml:space="preserve">also constitutes </w:t>
      </w:r>
      <w:r w:rsidR="00B4558F">
        <w:rPr>
          <w:rFonts w:cs="Times New Roman"/>
          <w:lang w:val="en-GB"/>
        </w:rPr>
        <w:t xml:space="preserve">a </w:t>
      </w:r>
      <w:r w:rsidRPr="0002155D">
        <w:rPr>
          <w:rFonts w:cs="Times New Roman"/>
          <w:lang w:val="en-GB"/>
        </w:rPr>
        <w:t>precise documentation of the verification process and its result.</w:t>
      </w:r>
    </w:p>
    <w:tbl>
      <w:tblPr>
        <w:tblStyle w:val="Tabellenraster"/>
        <w:tblW w:w="0" w:type="auto"/>
        <w:tblLook w:val="04A0" w:firstRow="1" w:lastRow="0" w:firstColumn="1" w:lastColumn="0" w:noHBand="0" w:noVBand="1"/>
      </w:tblPr>
      <w:tblGrid>
        <w:gridCol w:w="346"/>
        <w:gridCol w:w="1541"/>
        <w:gridCol w:w="4711"/>
        <w:gridCol w:w="25"/>
      </w:tblGrid>
      <w:tr w:rsidR="00781BFA" w:rsidRPr="0002155D" w14:paraId="2565ADA2" w14:textId="77777777" w:rsidTr="001306CE">
        <w:tc>
          <w:tcPr>
            <w:tcW w:w="2405" w:type="dxa"/>
            <w:gridSpan w:val="2"/>
            <w:shd w:val="clear" w:color="auto" w:fill="D0CECE" w:themeFill="background2" w:themeFillShade="E6"/>
          </w:tcPr>
          <w:p w14:paraId="32B80207" w14:textId="77777777" w:rsidR="00781BFA" w:rsidRPr="0002155D" w:rsidRDefault="00781BFA" w:rsidP="001306CE">
            <w:pPr>
              <w:jc w:val="left"/>
              <w:rPr>
                <w:b/>
                <w:lang w:val="en-GB"/>
              </w:rPr>
            </w:pPr>
            <w:r w:rsidRPr="0002155D">
              <w:rPr>
                <w:b/>
                <w:lang w:val="en-GB"/>
              </w:rPr>
              <w:t>Base Sorts</w:t>
            </w:r>
          </w:p>
        </w:tc>
        <w:tc>
          <w:tcPr>
            <w:tcW w:w="6611" w:type="dxa"/>
            <w:gridSpan w:val="2"/>
            <w:shd w:val="clear" w:color="auto" w:fill="D0CECE" w:themeFill="background2" w:themeFillShade="E6"/>
          </w:tcPr>
          <w:p w14:paraId="583286AE" w14:textId="77777777" w:rsidR="00781BFA" w:rsidRPr="0002155D" w:rsidRDefault="00781BFA" w:rsidP="001306CE">
            <w:pPr>
              <w:jc w:val="left"/>
              <w:rPr>
                <w:b/>
                <w:lang w:val="en-GB"/>
              </w:rPr>
            </w:pPr>
            <w:r w:rsidRPr="0002155D">
              <w:rPr>
                <w:b/>
                <w:lang w:val="en-GB"/>
              </w:rPr>
              <w:t>Variable names</w:t>
            </w:r>
          </w:p>
        </w:tc>
      </w:tr>
      <w:tr w:rsidR="00781BFA" w:rsidRPr="0002155D" w14:paraId="159AC2D3" w14:textId="77777777" w:rsidTr="001306CE">
        <w:trPr>
          <w:gridAfter w:val="1"/>
          <w:wAfter w:w="38" w:type="dxa"/>
        </w:trPr>
        <w:tc>
          <w:tcPr>
            <w:tcW w:w="421" w:type="dxa"/>
          </w:tcPr>
          <w:p w14:paraId="48C2F352" w14:textId="77777777" w:rsidR="00781BFA" w:rsidRPr="0002155D" w:rsidRDefault="00781BFA" w:rsidP="001306CE">
            <w:pPr>
              <w:jc w:val="left"/>
              <w:rPr>
                <w:lang w:val="en-GB"/>
              </w:rPr>
            </w:pPr>
          </w:p>
        </w:tc>
        <w:tc>
          <w:tcPr>
            <w:tcW w:w="1984" w:type="dxa"/>
          </w:tcPr>
          <w:p w14:paraId="79FD77F6" w14:textId="77777777" w:rsidR="00781BFA" w:rsidRPr="00697386" w:rsidRDefault="00781BFA" w:rsidP="001306CE">
            <w:pPr>
              <w:jc w:val="left"/>
              <w:rPr>
                <w:rFonts w:cs="Times New Roman"/>
                <w:lang w:val="en-GB"/>
              </w:rPr>
            </w:pPr>
            <w:r w:rsidRPr="00697386">
              <w:rPr>
                <w:rFonts w:cs="Times New Roman"/>
                <w:lang w:val="en-GB"/>
              </w:rPr>
              <w:t>Legal entity</w:t>
            </w:r>
          </w:p>
        </w:tc>
        <w:tc>
          <w:tcPr>
            <w:tcW w:w="6611" w:type="dxa"/>
          </w:tcPr>
          <w:p w14:paraId="0BF01D25" w14:textId="77777777" w:rsidR="00781BFA" w:rsidRPr="00697386" w:rsidRDefault="00781BFA" w:rsidP="001306CE">
            <w:pPr>
              <w:jc w:val="left"/>
              <w:rPr>
                <w:rFonts w:cs="Times New Roman"/>
                <w:lang w:val="en-GB"/>
              </w:rPr>
            </w:pPr>
            <w:r w:rsidRPr="00697386">
              <w:rPr>
                <w:rFonts w:cs="Times New Roman"/>
                <w:lang w:val="en-GB"/>
              </w:rPr>
              <w:t>[MedicalSupplies SE, MyCorp GmbH]</w:t>
            </w:r>
          </w:p>
        </w:tc>
      </w:tr>
      <w:tr w:rsidR="00781BFA" w:rsidRPr="0002155D" w14:paraId="424ABD55" w14:textId="77777777" w:rsidTr="001306CE">
        <w:trPr>
          <w:gridAfter w:val="1"/>
          <w:wAfter w:w="38" w:type="dxa"/>
        </w:trPr>
        <w:tc>
          <w:tcPr>
            <w:tcW w:w="421" w:type="dxa"/>
          </w:tcPr>
          <w:p w14:paraId="6D30DCD6" w14:textId="77777777" w:rsidR="00781BFA" w:rsidRPr="0002155D" w:rsidRDefault="00781BFA" w:rsidP="001306CE">
            <w:pPr>
              <w:jc w:val="left"/>
              <w:rPr>
                <w:lang w:val="en-GB"/>
              </w:rPr>
            </w:pPr>
          </w:p>
        </w:tc>
        <w:tc>
          <w:tcPr>
            <w:tcW w:w="1984" w:type="dxa"/>
          </w:tcPr>
          <w:p w14:paraId="0694E2D3" w14:textId="77777777" w:rsidR="00781BFA" w:rsidRPr="00697386" w:rsidRDefault="00781BFA" w:rsidP="001306CE">
            <w:pPr>
              <w:jc w:val="left"/>
              <w:rPr>
                <w:rFonts w:cs="Times New Roman"/>
                <w:lang w:val="en-GB"/>
              </w:rPr>
            </w:pPr>
            <w:r w:rsidRPr="00697386">
              <w:rPr>
                <w:rFonts w:cs="Times New Roman"/>
                <w:lang w:val="en-GB"/>
              </w:rPr>
              <w:t>Product</w:t>
            </w:r>
          </w:p>
        </w:tc>
        <w:tc>
          <w:tcPr>
            <w:tcW w:w="6611" w:type="dxa"/>
          </w:tcPr>
          <w:p w14:paraId="18CE6D7B" w14:textId="77777777" w:rsidR="00781BFA" w:rsidRPr="00697386" w:rsidRDefault="00781BFA" w:rsidP="001306CE">
            <w:pPr>
              <w:jc w:val="left"/>
              <w:rPr>
                <w:rFonts w:cs="Times New Roman"/>
                <w:lang w:val="en-GB"/>
              </w:rPr>
            </w:pPr>
            <w:r w:rsidRPr="00697386">
              <w:rPr>
                <w:rFonts w:cs="Times New Roman"/>
                <w:lang w:val="en-GB"/>
              </w:rPr>
              <w:t>["cough syrup"]</w:t>
            </w:r>
          </w:p>
        </w:tc>
      </w:tr>
      <w:tr w:rsidR="00781BFA" w:rsidRPr="0002155D" w14:paraId="627CFFF2" w14:textId="77777777" w:rsidTr="001306CE">
        <w:trPr>
          <w:gridAfter w:val="1"/>
          <w:wAfter w:w="38" w:type="dxa"/>
        </w:trPr>
        <w:tc>
          <w:tcPr>
            <w:tcW w:w="421" w:type="dxa"/>
          </w:tcPr>
          <w:p w14:paraId="484E41D1" w14:textId="77777777" w:rsidR="00781BFA" w:rsidRPr="0002155D" w:rsidRDefault="00781BFA" w:rsidP="001306CE">
            <w:pPr>
              <w:jc w:val="left"/>
              <w:rPr>
                <w:lang w:val="en-GB"/>
              </w:rPr>
            </w:pPr>
          </w:p>
        </w:tc>
        <w:tc>
          <w:tcPr>
            <w:tcW w:w="1984" w:type="dxa"/>
          </w:tcPr>
          <w:p w14:paraId="7D3FC3E4" w14:textId="77777777" w:rsidR="00781BFA" w:rsidRPr="00697386" w:rsidRDefault="00781BFA" w:rsidP="001306CE">
            <w:pPr>
              <w:jc w:val="left"/>
              <w:rPr>
                <w:rFonts w:cs="Times New Roman"/>
                <w:lang w:val="en-GB"/>
              </w:rPr>
            </w:pPr>
            <w:r w:rsidRPr="00697386">
              <w:rPr>
                <w:rFonts w:cs="Times New Roman"/>
                <w:lang w:val="en-GB"/>
              </w:rPr>
              <w:t>Product Category</w:t>
            </w:r>
          </w:p>
        </w:tc>
        <w:tc>
          <w:tcPr>
            <w:tcW w:w="6611" w:type="dxa"/>
          </w:tcPr>
          <w:p w14:paraId="124B0149" w14:textId="77777777" w:rsidR="00781BFA" w:rsidRPr="00697386" w:rsidRDefault="00781BFA" w:rsidP="001306CE">
            <w:pPr>
              <w:jc w:val="left"/>
              <w:rPr>
                <w:rFonts w:cs="Times New Roman"/>
                <w:lang w:val="en-GB"/>
              </w:rPr>
            </w:pPr>
            <w:r w:rsidRPr="00697386">
              <w:rPr>
                <w:rFonts w:cs="Times New Roman"/>
                <w:lang w:val="en-GB"/>
              </w:rPr>
              <w:t>[medicine]</w:t>
            </w:r>
          </w:p>
        </w:tc>
      </w:tr>
      <w:tr w:rsidR="00781BFA" w:rsidRPr="0002155D" w14:paraId="7E5FD095" w14:textId="77777777" w:rsidTr="001306CE">
        <w:trPr>
          <w:gridAfter w:val="1"/>
          <w:wAfter w:w="38" w:type="dxa"/>
        </w:trPr>
        <w:tc>
          <w:tcPr>
            <w:tcW w:w="421" w:type="dxa"/>
          </w:tcPr>
          <w:p w14:paraId="7073CA1E" w14:textId="77777777" w:rsidR="00781BFA" w:rsidRPr="0002155D" w:rsidRDefault="00781BFA" w:rsidP="001306CE">
            <w:pPr>
              <w:jc w:val="left"/>
              <w:rPr>
                <w:lang w:val="en-GB"/>
              </w:rPr>
            </w:pPr>
          </w:p>
        </w:tc>
        <w:tc>
          <w:tcPr>
            <w:tcW w:w="1984" w:type="dxa"/>
          </w:tcPr>
          <w:p w14:paraId="251DCD9F" w14:textId="77777777" w:rsidR="00781BFA" w:rsidRPr="00697386" w:rsidRDefault="00781BFA" w:rsidP="001306CE">
            <w:pPr>
              <w:jc w:val="left"/>
              <w:rPr>
                <w:rFonts w:cs="Times New Roman"/>
                <w:lang w:val="en-GB"/>
              </w:rPr>
            </w:pPr>
            <w:r w:rsidRPr="00697386">
              <w:rPr>
                <w:rFonts w:cs="Times New Roman"/>
                <w:lang w:val="en-GB"/>
              </w:rPr>
              <w:t>VATID</w:t>
            </w:r>
          </w:p>
        </w:tc>
        <w:tc>
          <w:tcPr>
            <w:tcW w:w="6611" w:type="dxa"/>
          </w:tcPr>
          <w:p w14:paraId="036615D2" w14:textId="77777777" w:rsidR="00781BFA" w:rsidRPr="00697386" w:rsidRDefault="00781BFA" w:rsidP="001306CE">
            <w:pPr>
              <w:jc w:val="left"/>
              <w:rPr>
                <w:rFonts w:cs="Times New Roman"/>
                <w:lang w:val="en-GB"/>
              </w:rPr>
            </w:pPr>
            <w:r w:rsidRPr="00697386">
              <w:rPr>
                <w:rFonts w:cs="Times New Roman"/>
                <w:lang w:val="en-GB"/>
              </w:rPr>
              <w:t>[DE314159265]</w:t>
            </w:r>
          </w:p>
        </w:tc>
      </w:tr>
      <w:tr w:rsidR="00781BFA" w:rsidRPr="0002155D" w14:paraId="72BEA86C" w14:textId="77777777" w:rsidTr="001306CE">
        <w:trPr>
          <w:gridAfter w:val="1"/>
          <w:wAfter w:w="38" w:type="dxa"/>
        </w:trPr>
        <w:tc>
          <w:tcPr>
            <w:tcW w:w="421" w:type="dxa"/>
          </w:tcPr>
          <w:p w14:paraId="3CD1E648" w14:textId="77777777" w:rsidR="00781BFA" w:rsidRPr="0002155D" w:rsidRDefault="00781BFA" w:rsidP="001306CE">
            <w:pPr>
              <w:jc w:val="left"/>
              <w:rPr>
                <w:lang w:val="en-GB"/>
              </w:rPr>
            </w:pPr>
          </w:p>
        </w:tc>
        <w:tc>
          <w:tcPr>
            <w:tcW w:w="1984" w:type="dxa"/>
          </w:tcPr>
          <w:p w14:paraId="5B7C1F43" w14:textId="77777777" w:rsidR="00781BFA" w:rsidRPr="00697386" w:rsidRDefault="00781BFA" w:rsidP="001306CE">
            <w:pPr>
              <w:jc w:val="left"/>
              <w:rPr>
                <w:rFonts w:cs="Times New Roman"/>
                <w:lang w:val="en-GB"/>
              </w:rPr>
            </w:pPr>
            <w:r w:rsidRPr="00697386">
              <w:rPr>
                <w:rFonts w:cs="Times New Roman"/>
                <w:lang w:val="en-GB"/>
              </w:rPr>
              <w:t>Country</w:t>
            </w:r>
          </w:p>
        </w:tc>
        <w:tc>
          <w:tcPr>
            <w:tcW w:w="6611" w:type="dxa"/>
          </w:tcPr>
          <w:p w14:paraId="43C835A4" w14:textId="77777777" w:rsidR="00781BFA" w:rsidRPr="00697386" w:rsidRDefault="00781BFA" w:rsidP="001306CE">
            <w:pPr>
              <w:jc w:val="left"/>
              <w:rPr>
                <w:rFonts w:cs="Times New Roman"/>
                <w:lang w:val="en-GB"/>
              </w:rPr>
            </w:pPr>
            <w:r w:rsidRPr="00697386">
              <w:rPr>
                <w:rFonts w:cs="Times New Roman"/>
                <w:lang w:val="en-GB"/>
              </w:rPr>
              <w:t>[Germany, Spain]</w:t>
            </w:r>
          </w:p>
        </w:tc>
      </w:tr>
      <w:tr w:rsidR="00781BFA" w:rsidRPr="0002155D" w14:paraId="5B574777" w14:textId="77777777" w:rsidTr="001306CE">
        <w:trPr>
          <w:gridAfter w:val="1"/>
          <w:wAfter w:w="38" w:type="dxa"/>
        </w:trPr>
        <w:tc>
          <w:tcPr>
            <w:tcW w:w="421" w:type="dxa"/>
          </w:tcPr>
          <w:p w14:paraId="17501AE4" w14:textId="77777777" w:rsidR="00781BFA" w:rsidRPr="0002155D" w:rsidRDefault="00781BFA" w:rsidP="001306CE">
            <w:pPr>
              <w:jc w:val="left"/>
              <w:rPr>
                <w:lang w:val="en-GB"/>
              </w:rPr>
            </w:pPr>
          </w:p>
        </w:tc>
        <w:tc>
          <w:tcPr>
            <w:tcW w:w="1984" w:type="dxa"/>
          </w:tcPr>
          <w:p w14:paraId="772466C8" w14:textId="77777777" w:rsidR="00781BFA" w:rsidRPr="00697386" w:rsidRDefault="00781BFA" w:rsidP="001306CE">
            <w:pPr>
              <w:jc w:val="left"/>
              <w:rPr>
                <w:rFonts w:cs="Times New Roman"/>
                <w:lang w:val="en-GB"/>
              </w:rPr>
            </w:pPr>
            <w:r w:rsidRPr="00697386">
              <w:rPr>
                <w:rFonts w:cs="Times New Roman"/>
                <w:lang w:val="en-GB"/>
              </w:rPr>
              <w:t>Status</w:t>
            </w:r>
          </w:p>
        </w:tc>
        <w:tc>
          <w:tcPr>
            <w:tcW w:w="6611" w:type="dxa"/>
          </w:tcPr>
          <w:p w14:paraId="4A87EB36" w14:textId="77777777" w:rsidR="00781BFA" w:rsidRPr="00697386" w:rsidRDefault="00781BFA" w:rsidP="001306CE">
            <w:pPr>
              <w:jc w:val="left"/>
              <w:rPr>
                <w:rFonts w:cs="Times New Roman"/>
                <w:lang w:val="en-GB"/>
              </w:rPr>
            </w:pPr>
            <w:r w:rsidRPr="00697386">
              <w:rPr>
                <w:rFonts w:cs="Times New Roman"/>
                <w:lang w:val="en-GB"/>
              </w:rPr>
              <w:t>[Excluded, "Not excluded"]</w:t>
            </w:r>
          </w:p>
        </w:tc>
      </w:tr>
      <w:tr w:rsidR="00781BFA" w:rsidRPr="0002155D" w14:paraId="16669D8E" w14:textId="77777777" w:rsidTr="001306CE">
        <w:tc>
          <w:tcPr>
            <w:tcW w:w="2405" w:type="dxa"/>
            <w:gridSpan w:val="2"/>
            <w:shd w:val="clear" w:color="auto" w:fill="D0CECE" w:themeFill="background2" w:themeFillShade="E6"/>
          </w:tcPr>
          <w:p w14:paraId="3E5D79B2" w14:textId="77777777" w:rsidR="00781BFA" w:rsidRPr="0002155D" w:rsidRDefault="00781BFA" w:rsidP="001306CE">
            <w:pPr>
              <w:jc w:val="left"/>
              <w:rPr>
                <w:b/>
                <w:lang w:val="en-GB"/>
              </w:rPr>
            </w:pPr>
            <w:r w:rsidRPr="0002155D">
              <w:rPr>
                <w:b/>
                <w:lang w:val="en-GB"/>
              </w:rPr>
              <w:t>Derived Sorts</w:t>
            </w:r>
          </w:p>
        </w:tc>
        <w:tc>
          <w:tcPr>
            <w:tcW w:w="6611" w:type="dxa"/>
            <w:gridSpan w:val="2"/>
            <w:shd w:val="clear" w:color="auto" w:fill="D0CECE" w:themeFill="background2" w:themeFillShade="E6"/>
          </w:tcPr>
          <w:p w14:paraId="231276DC" w14:textId="77777777" w:rsidR="00781BFA" w:rsidRPr="0002155D" w:rsidRDefault="00781BFA" w:rsidP="001306CE">
            <w:pPr>
              <w:jc w:val="left"/>
              <w:rPr>
                <w:lang w:val="en-GB"/>
              </w:rPr>
            </w:pPr>
          </w:p>
        </w:tc>
      </w:tr>
      <w:tr w:rsidR="00781BFA" w:rsidRPr="006877D8" w14:paraId="121A92FA" w14:textId="77777777" w:rsidTr="001306CE">
        <w:trPr>
          <w:gridAfter w:val="1"/>
          <w:wAfter w:w="38" w:type="dxa"/>
        </w:trPr>
        <w:tc>
          <w:tcPr>
            <w:tcW w:w="421" w:type="dxa"/>
          </w:tcPr>
          <w:p w14:paraId="79B71CEF" w14:textId="77777777" w:rsidR="00781BFA" w:rsidRPr="0002155D" w:rsidRDefault="00781BFA" w:rsidP="001306CE">
            <w:pPr>
              <w:jc w:val="left"/>
              <w:rPr>
                <w:lang w:val="en-GB"/>
              </w:rPr>
            </w:pPr>
          </w:p>
        </w:tc>
        <w:tc>
          <w:tcPr>
            <w:tcW w:w="1984" w:type="dxa"/>
          </w:tcPr>
          <w:p w14:paraId="00DE008D" w14:textId="77777777" w:rsidR="00781BFA" w:rsidRPr="0002155D" w:rsidRDefault="00781BFA" w:rsidP="001306CE">
            <w:pPr>
              <w:jc w:val="left"/>
              <w:rPr>
                <w:lang w:val="en-GB"/>
              </w:rPr>
            </w:pPr>
            <w:r w:rsidRPr="0002155D">
              <w:rPr>
                <w:lang w:val="en-GB"/>
              </w:rPr>
              <w:t>Company:</w:t>
            </w:r>
          </w:p>
        </w:tc>
        <w:tc>
          <w:tcPr>
            <w:tcW w:w="6611" w:type="dxa"/>
          </w:tcPr>
          <w:p w14:paraId="5FC7E149" w14:textId="77777777" w:rsidR="00781BFA" w:rsidRPr="0002155D" w:rsidRDefault="00781BFA" w:rsidP="001306CE">
            <w:pPr>
              <w:jc w:val="left"/>
              <w:rPr>
                <w:lang w:val="en-GB"/>
              </w:rPr>
            </w:pPr>
            <w:r w:rsidRPr="0002155D">
              <w:rPr>
                <w:lang w:val="en-GB"/>
              </w:rPr>
              <w:t>[(MedicalSupplies SE, Spain), (MyCorp GmbH, Germany)]</w:t>
            </w:r>
          </w:p>
        </w:tc>
      </w:tr>
      <w:tr w:rsidR="00781BFA" w:rsidRPr="006877D8" w14:paraId="43E60F22" w14:textId="77777777" w:rsidTr="001306CE">
        <w:trPr>
          <w:gridAfter w:val="1"/>
          <w:wAfter w:w="38" w:type="dxa"/>
        </w:trPr>
        <w:tc>
          <w:tcPr>
            <w:tcW w:w="421" w:type="dxa"/>
          </w:tcPr>
          <w:p w14:paraId="20853D84" w14:textId="77777777" w:rsidR="00781BFA" w:rsidRPr="0002155D" w:rsidRDefault="00781BFA" w:rsidP="001306CE">
            <w:pPr>
              <w:jc w:val="left"/>
              <w:rPr>
                <w:lang w:val="en-GB"/>
              </w:rPr>
            </w:pPr>
          </w:p>
        </w:tc>
        <w:tc>
          <w:tcPr>
            <w:tcW w:w="1984" w:type="dxa"/>
          </w:tcPr>
          <w:p w14:paraId="3295A960" w14:textId="77777777" w:rsidR="00781BFA" w:rsidRPr="0002155D" w:rsidRDefault="00781BFA" w:rsidP="001306CE">
            <w:pPr>
              <w:jc w:val="left"/>
              <w:rPr>
                <w:lang w:val="en-GB"/>
              </w:rPr>
            </w:pPr>
            <w:r w:rsidRPr="0002155D">
              <w:rPr>
                <w:lang w:val="en-GB"/>
              </w:rPr>
              <w:t>Partner Status:</w:t>
            </w:r>
          </w:p>
        </w:tc>
        <w:tc>
          <w:tcPr>
            <w:tcW w:w="6611" w:type="dxa"/>
          </w:tcPr>
          <w:p w14:paraId="328F9919" w14:textId="77777777" w:rsidR="00781BFA" w:rsidRPr="0002155D" w:rsidRDefault="00781BFA" w:rsidP="001306CE">
            <w:pPr>
              <w:jc w:val="left"/>
              <w:rPr>
                <w:lang w:val="en-GB"/>
              </w:rPr>
            </w:pPr>
            <w:r w:rsidRPr="0002155D">
              <w:rPr>
                <w:lang w:val="en-GB"/>
              </w:rPr>
              <w:t>[((MedicalSupplies SE, Spain), not excluded),</w:t>
            </w:r>
          </w:p>
          <w:p w14:paraId="49F12A06" w14:textId="77777777" w:rsidR="00781BFA" w:rsidRPr="0002155D" w:rsidRDefault="00781BFA" w:rsidP="001306CE">
            <w:pPr>
              <w:jc w:val="left"/>
              <w:rPr>
                <w:lang w:val="en-GB"/>
              </w:rPr>
            </w:pPr>
            <w:r w:rsidRPr="0002155D">
              <w:rPr>
                <w:lang w:val="en-GB"/>
              </w:rPr>
              <w:t>((MyCorp GmbH, Germany), not excluded)]</w:t>
            </w:r>
          </w:p>
        </w:tc>
      </w:tr>
      <w:tr w:rsidR="00781BFA" w:rsidRPr="0002155D" w14:paraId="5CFF316D" w14:textId="77777777" w:rsidTr="001306CE">
        <w:trPr>
          <w:gridAfter w:val="1"/>
          <w:wAfter w:w="38" w:type="dxa"/>
        </w:trPr>
        <w:tc>
          <w:tcPr>
            <w:tcW w:w="421" w:type="dxa"/>
          </w:tcPr>
          <w:p w14:paraId="6BDF54DB" w14:textId="77777777" w:rsidR="00781BFA" w:rsidRPr="0002155D" w:rsidRDefault="00781BFA" w:rsidP="001306CE">
            <w:pPr>
              <w:jc w:val="left"/>
              <w:rPr>
                <w:lang w:val="en-GB"/>
              </w:rPr>
            </w:pPr>
          </w:p>
        </w:tc>
        <w:tc>
          <w:tcPr>
            <w:tcW w:w="1984" w:type="dxa"/>
          </w:tcPr>
          <w:p w14:paraId="71C736AA" w14:textId="77777777" w:rsidR="00781BFA" w:rsidRPr="0002155D" w:rsidRDefault="00781BFA" w:rsidP="001306CE">
            <w:pPr>
              <w:jc w:val="left"/>
              <w:rPr>
                <w:lang w:val="en-GB"/>
              </w:rPr>
            </w:pPr>
            <w:r w:rsidRPr="0002155D">
              <w:rPr>
                <w:lang w:val="en-GB"/>
              </w:rPr>
              <w:t>Receiver:</w:t>
            </w:r>
          </w:p>
        </w:tc>
        <w:tc>
          <w:tcPr>
            <w:tcW w:w="6611" w:type="dxa"/>
          </w:tcPr>
          <w:p w14:paraId="02890130" w14:textId="77777777" w:rsidR="00781BFA" w:rsidRPr="0002155D" w:rsidRDefault="00781BFA" w:rsidP="001306CE">
            <w:pPr>
              <w:jc w:val="left"/>
              <w:rPr>
                <w:lang w:val="en-GB"/>
              </w:rPr>
            </w:pPr>
            <w:r w:rsidRPr="0002155D">
              <w:rPr>
                <w:lang w:val="en-GB"/>
              </w:rPr>
              <w:t>((MyCorp GmbH, Germany), DE314159265)</w:t>
            </w:r>
          </w:p>
        </w:tc>
      </w:tr>
      <w:tr w:rsidR="00781BFA" w:rsidRPr="0002155D" w14:paraId="6EB62BFD" w14:textId="77777777" w:rsidTr="001306CE">
        <w:trPr>
          <w:gridAfter w:val="1"/>
          <w:wAfter w:w="38" w:type="dxa"/>
        </w:trPr>
        <w:tc>
          <w:tcPr>
            <w:tcW w:w="421" w:type="dxa"/>
          </w:tcPr>
          <w:p w14:paraId="45181C22" w14:textId="77777777" w:rsidR="00781BFA" w:rsidRPr="0002155D" w:rsidRDefault="00781BFA" w:rsidP="001306CE">
            <w:pPr>
              <w:jc w:val="left"/>
              <w:rPr>
                <w:lang w:val="en-GB"/>
              </w:rPr>
            </w:pPr>
          </w:p>
        </w:tc>
        <w:tc>
          <w:tcPr>
            <w:tcW w:w="1984" w:type="dxa"/>
          </w:tcPr>
          <w:p w14:paraId="48FC26A8" w14:textId="77777777" w:rsidR="00781BFA" w:rsidRPr="0002155D" w:rsidRDefault="00781BFA" w:rsidP="001306CE">
            <w:pPr>
              <w:jc w:val="left"/>
              <w:rPr>
                <w:lang w:val="en-GB"/>
              </w:rPr>
            </w:pPr>
            <w:r w:rsidRPr="0002155D">
              <w:rPr>
                <w:lang w:val="en-GB"/>
              </w:rPr>
              <w:t>Order Positions:</w:t>
            </w:r>
          </w:p>
        </w:tc>
        <w:tc>
          <w:tcPr>
            <w:tcW w:w="6611" w:type="dxa"/>
          </w:tcPr>
          <w:p w14:paraId="0C63E0DD" w14:textId="77777777" w:rsidR="00781BFA" w:rsidRPr="0002155D" w:rsidRDefault="00781BFA" w:rsidP="001306CE">
            <w:pPr>
              <w:jc w:val="left"/>
              <w:rPr>
                <w:lang w:val="en-GB"/>
              </w:rPr>
            </w:pPr>
            <w:r w:rsidRPr="0002155D">
              <w:rPr>
                <w:lang w:val="en-GB"/>
              </w:rPr>
              <w:t>[[["cough syrup"]]</w:t>
            </w:r>
          </w:p>
        </w:tc>
      </w:tr>
      <w:tr w:rsidR="00781BFA" w:rsidRPr="006877D8" w14:paraId="22DE0661" w14:textId="77777777" w:rsidTr="001306CE">
        <w:trPr>
          <w:gridAfter w:val="1"/>
          <w:wAfter w:w="38" w:type="dxa"/>
        </w:trPr>
        <w:tc>
          <w:tcPr>
            <w:tcW w:w="421" w:type="dxa"/>
          </w:tcPr>
          <w:p w14:paraId="5DC28178" w14:textId="77777777" w:rsidR="00781BFA" w:rsidRPr="0002155D" w:rsidRDefault="00781BFA" w:rsidP="001306CE">
            <w:pPr>
              <w:jc w:val="left"/>
              <w:rPr>
                <w:lang w:val="en-GB"/>
              </w:rPr>
            </w:pPr>
          </w:p>
        </w:tc>
        <w:tc>
          <w:tcPr>
            <w:tcW w:w="1984" w:type="dxa"/>
          </w:tcPr>
          <w:p w14:paraId="09EDBC7A" w14:textId="77777777" w:rsidR="00781BFA" w:rsidRPr="0002155D" w:rsidRDefault="00781BFA" w:rsidP="001306CE">
            <w:pPr>
              <w:jc w:val="left"/>
              <w:rPr>
                <w:lang w:val="en-GB"/>
              </w:rPr>
            </w:pPr>
            <w:r w:rsidRPr="0002155D">
              <w:rPr>
                <w:lang w:val="en-GB"/>
              </w:rPr>
              <w:t>Order:</w:t>
            </w:r>
          </w:p>
        </w:tc>
        <w:tc>
          <w:tcPr>
            <w:tcW w:w="6611" w:type="dxa"/>
          </w:tcPr>
          <w:p w14:paraId="00644CAC" w14:textId="77777777" w:rsidR="00781BFA" w:rsidRPr="0002155D" w:rsidRDefault="00781BFA" w:rsidP="001306CE">
            <w:pPr>
              <w:jc w:val="left"/>
              <w:rPr>
                <w:lang w:val="en-GB"/>
              </w:rPr>
            </w:pPr>
            <w:r w:rsidRPr="0002155D">
              <w:rPr>
                <w:lang w:val="en-GB"/>
              </w:rPr>
              <w:t>[((MedicalSupplies SE, Spain), ((MyCorp GmbH, Germany), DE314159265), ["cough syrup"])]</w:t>
            </w:r>
          </w:p>
        </w:tc>
      </w:tr>
      <w:tr w:rsidR="00781BFA" w:rsidRPr="0002155D" w14:paraId="43BE6E27" w14:textId="77777777" w:rsidTr="001306CE">
        <w:tc>
          <w:tcPr>
            <w:tcW w:w="9016" w:type="dxa"/>
            <w:gridSpan w:val="4"/>
            <w:shd w:val="clear" w:color="auto" w:fill="D0CECE" w:themeFill="background2" w:themeFillShade="E6"/>
          </w:tcPr>
          <w:p w14:paraId="3AA76AF1" w14:textId="77777777" w:rsidR="00781BFA" w:rsidRPr="0002155D" w:rsidRDefault="00781BFA" w:rsidP="001306CE">
            <w:pPr>
              <w:jc w:val="left"/>
              <w:rPr>
                <w:lang w:val="en-GB"/>
              </w:rPr>
            </w:pPr>
            <w:r w:rsidRPr="0002155D">
              <w:rPr>
                <w:b/>
                <w:lang w:val="en-GB"/>
              </w:rPr>
              <w:t>Functions</w:t>
            </w:r>
          </w:p>
        </w:tc>
      </w:tr>
      <w:tr w:rsidR="00781BFA" w:rsidRPr="0002155D" w14:paraId="6DF153DB" w14:textId="77777777" w:rsidTr="001306CE">
        <w:trPr>
          <w:gridAfter w:val="1"/>
          <w:wAfter w:w="38" w:type="dxa"/>
        </w:trPr>
        <w:tc>
          <w:tcPr>
            <w:tcW w:w="421" w:type="dxa"/>
          </w:tcPr>
          <w:p w14:paraId="7B949665" w14:textId="77777777" w:rsidR="00781BFA" w:rsidRPr="0002155D" w:rsidRDefault="00781BFA" w:rsidP="001306CE">
            <w:pPr>
              <w:jc w:val="left"/>
              <w:rPr>
                <w:lang w:val="en-GB"/>
              </w:rPr>
            </w:pPr>
          </w:p>
        </w:tc>
        <w:tc>
          <w:tcPr>
            <w:tcW w:w="1984" w:type="dxa"/>
          </w:tcPr>
          <w:p w14:paraId="0E5AA4CB" w14:textId="77777777" w:rsidR="00781BFA" w:rsidRPr="0002155D" w:rsidRDefault="00781BFA" w:rsidP="001306CE">
            <w:pPr>
              <w:jc w:val="left"/>
              <w:rPr>
                <w:lang w:val="en-GB"/>
              </w:rPr>
            </w:pPr>
            <w:r w:rsidRPr="0002155D">
              <w:rPr>
                <w:lang w:val="en-GB"/>
              </w:rPr>
              <w:t>cat: Product -&gt; Product category</w:t>
            </w:r>
          </w:p>
        </w:tc>
        <w:tc>
          <w:tcPr>
            <w:tcW w:w="6611" w:type="dxa"/>
          </w:tcPr>
          <w:p w14:paraId="4670BC37" w14:textId="77777777" w:rsidR="00781BFA" w:rsidRPr="0002155D" w:rsidRDefault="00781BFA" w:rsidP="001306CE">
            <w:pPr>
              <w:keepNext/>
              <w:jc w:val="left"/>
              <w:rPr>
                <w:lang w:val="en-GB"/>
              </w:rPr>
            </w:pPr>
            <w:r w:rsidRPr="0002155D">
              <w:rPr>
                <w:lang w:val="en-GB"/>
              </w:rPr>
              <w:t>cat(cough syrup) = medicine</w:t>
            </w:r>
          </w:p>
        </w:tc>
      </w:tr>
    </w:tbl>
    <w:p w14:paraId="5E2AFC81" w14:textId="74373FFE" w:rsidR="00781BFA" w:rsidRPr="0002155D" w:rsidRDefault="00781BFA" w:rsidP="00781BFA">
      <w:pPr>
        <w:pStyle w:val="Beschriftung"/>
        <w:rPr>
          <w:lang w:val="en-GB"/>
        </w:rPr>
      </w:pPr>
      <w:r w:rsidRPr="0002155D">
        <w:rPr>
          <w:lang w:val="en-GB"/>
        </w:rPr>
        <w:t xml:space="preserve">Table </w:t>
      </w:r>
      <w:r w:rsidRPr="0002155D">
        <w:rPr>
          <w:lang w:val="en-GB"/>
        </w:rPr>
        <w:fldChar w:fldCharType="begin"/>
      </w:r>
      <w:r w:rsidRPr="0002155D">
        <w:rPr>
          <w:lang w:val="en-GB"/>
        </w:rPr>
        <w:instrText xml:space="preserve"> SEQ Table \* ARABIC </w:instrText>
      </w:r>
      <w:r w:rsidRPr="0002155D">
        <w:rPr>
          <w:lang w:val="en-GB"/>
        </w:rPr>
        <w:fldChar w:fldCharType="separate"/>
      </w:r>
      <w:r w:rsidR="00D53826">
        <w:rPr>
          <w:noProof/>
          <w:lang w:val="en-GB"/>
        </w:rPr>
        <w:t>2</w:t>
      </w:r>
      <w:r w:rsidRPr="0002155D">
        <w:rPr>
          <w:lang w:val="en-GB"/>
        </w:rPr>
        <w:fldChar w:fldCharType="end"/>
      </w:r>
      <w:r w:rsidRPr="0002155D">
        <w:rPr>
          <w:lang w:val="en-GB"/>
        </w:rPr>
        <w:t>: Initialised Signature</w:t>
      </w:r>
    </w:p>
    <w:p w14:paraId="489B2BEE" w14:textId="567A953C" w:rsidR="007E0339" w:rsidRPr="00F32F95" w:rsidRDefault="00781BFA" w:rsidP="00781BFA">
      <w:pPr>
        <w:keepNext/>
        <w:rPr>
          <w:rFonts w:cs="Times New Roman"/>
          <w:noProof/>
          <w:lang w:val="en-GB"/>
        </w:rPr>
      </w:pPr>
      <w:r w:rsidRPr="60697B14">
        <w:rPr>
          <w:rStyle w:val="tagtrans"/>
          <w:lang w:val="en-GB"/>
        </w:rPr>
        <w:t xml:space="preserve">Contrary to classical logs, there is no total order in the events. Usually, a timestamp is used to create a total order of the events. In this case, the order </w:t>
      </w:r>
      <w:r w:rsidRPr="00F32F95">
        <w:rPr>
          <w:rStyle w:val="tagtrans"/>
          <w:lang w:val="en-GB"/>
        </w:rPr>
        <w:t>only defined through the casual relationship of events.</w:t>
      </w:r>
      <w:r w:rsidRPr="00F32F95">
        <w:rPr>
          <w:lang w:val="en-GB"/>
        </w:rPr>
        <w:t xml:space="preserve"> </w:t>
      </w:r>
      <w:r w:rsidR="00B4558F" w:rsidRPr="00F32F95">
        <w:rPr>
          <w:rFonts w:cs="Times New Roman"/>
          <w:noProof/>
          <w:lang w:val="en-GB"/>
        </w:rPr>
        <w:t>In Figure 9 it can be seen, that the individual verification steps (turquoise, dark cyan, olive, purple) are independent and concurrent, whereas all verifications need to finish before the final result can be produced (brown events).</w:t>
      </w:r>
      <w:r w:rsidR="007E0339" w:rsidRPr="00F32F95">
        <w:rPr>
          <w:rFonts w:cs="Times New Roman"/>
          <w:noProof/>
          <w:lang w:val="en-GB"/>
        </w:rPr>
        <w:t xml:space="preserve"> To get a more detailed look at the event inscriptions, Figure 10 depicts an exerpt of the distrubuted run, containing the verification steps that relate to the product itself.</w:t>
      </w:r>
    </w:p>
    <w:p w14:paraId="3225DC1F" w14:textId="78F29CF6" w:rsidR="00781BFA" w:rsidRPr="0002155D" w:rsidRDefault="00F82390" w:rsidP="00781BFA">
      <w:pPr>
        <w:keepNext/>
        <w:rPr>
          <w:lang w:val="en-GB"/>
        </w:rPr>
      </w:pPr>
      <w:r>
        <w:rPr>
          <w:noProof/>
          <w:sz w:val="16"/>
          <w:szCs w:val="16"/>
        </w:rPr>
        <w:drawing>
          <wp:inline distT="0" distB="0" distL="0" distR="0" wp14:anchorId="0E7C7EB5" wp14:editId="001900CC">
            <wp:extent cx="4211955" cy="1306830"/>
            <wp:effectExtent l="0" t="0" r="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211955" cy="1306830"/>
                    </a:xfrm>
                    <a:prstGeom prst="rect">
                      <a:avLst/>
                    </a:prstGeom>
                  </pic:spPr>
                </pic:pic>
              </a:graphicData>
            </a:graphic>
          </wp:inline>
        </w:drawing>
      </w:r>
    </w:p>
    <w:p w14:paraId="717A6361" w14:textId="06808CF8" w:rsidR="00781BFA" w:rsidRPr="0002155D" w:rsidRDefault="00781BFA" w:rsidP="00781BFA">
      <w:pPr>
        <w:pStyle w:val="Beschriftung"/>
        <w:rPr>
          <w:lang w:val="en-GB"/>
        </w:rPr>
      </w:pPr>
      <w:r w:rsidRPr="0002155D">
        <w:rPr>
          <w:lang w:val="en-GB"/>
        </w:rPr>
        <w:t xml:space="preserve">Figure </w:t>
      </w:r>
      <w:r w:rsidRPr="0002155D">
        <w:rPr>
          <w:lang w:val="en-GB"/>
        </w:rPr>
        <w:fldChar w:fldCharType="begin"/>
      </w:r>
      <w:r w:rsidRPr="0002155D">
        <w:rPr>
          <w:lang w:val="en-GB"/>
        </w:rPr>
        <w:instrText xml:space="preserve"> SEQ Figure \* ARABIC </w:instrText>
      </w:r>
      <w:r w:rsidRPr="0002155D">
        <w:rPr>
          <w:lang w:val="en-GB"/>
        </w:rPr>
        <w:fldChar w:fldCharType="separate"/>
      </w:r>
      <w:r w:rsidR="00D53826">
        <w:rPr>
          <w:noProof/>
          <w:lang w:val="en-GB"/>
        </w:rPr>
        <w:t>9</w:t>
      </w:r>
      <w:r w:rsidRPr="0002155D">
        <w:rPr>
          <w:lang w:val="en-GB"/>
        </w:rPr>
        <w:fldChar w:fldCharType="end"/>
      </w:r>
      <w:r w:rsidRPr="0002155D">
        <w:rPr>
          <w:lang w:val="en-GB"/>
        </w:rPr>
        <w:t>: Distributed run as event log</w:t>
      </w:r>
      <w:r w:rsidR="007E0339">
        <w:rPr>
          <w:rStyle w:val="Funotenzeichen"/>
          <w:lang w:val="en-GB"/>
        </w:rPr>
        <w:footnoteReference w:id="8"/>
      </w:r>
    </w:p>
    <w:p w14:paraId="7F43836F" w14:textId="77777777" w:rsidR="00781BFA" w:rsidRPr="0002155D" w:rsidRDefault="00781BFA" w:rsidP="00781BFA">
      <w:pPr>
        <w:rPr>
          <w:rStyle w:val="tagtrans"/>
          <w:lang w:val="en-GB"/>
        </w:rPr>
      </w:pPr>
      <w:r>
        <w:rPr>
          <w:rStyle w:val="tagtrans"/>
          <w:lang w:val="en-GB"/>
        </w:rPr>
        <w:t>For</w:t>
      </w:r>
      <w:r w:rsidRPr="0002155D">
        <w:rPr>
          <w:rStyle w:val="tagtrans"/>
          <w:lang w:val="en-GB"/>
        </w:rPr>
        <w:t xml:space="preserve"> example, the event </w:t>
      </w:r>
      <w:r>
        <w:rPr>
          <w:rStyle w:val="tagtrans"/>
          <w:lang w:val="en-GB"/>
        </w:rPr>
        <w:t>"</w:t>
      </w:r>
      <w:r w:rsidRPr="0002155D">
        <w:rPr>
          <w:rStyle w:val="tagtrans"/>
          <w:lang w:val="en-GB"/>
        </w:rPr>
        <w:t xml:space="preserve">Object is subject to VAT in </w:t>
      </w:r>
      <w:r>
        <w:rPr>
          <w:rStyle w:val="tagtrans"/>
          <w:lang w:val="en-GB"/>
        </w:rPr>
        <w:t xml:space="preserve">the </w:t>
      </w:r>
      <w:r w:rsidRPr="0002155D">
        <w:rPr>
          <w:rStyle w:val="tagtrans"/>
          <w:lang w:val="en-GB"/>
        </w:rPr>
        <w:t>destination country (§6a I Nr.3)</w:t>
      </w:r>
      <w:r>
        <w:rPr>
          <w:rStyle w:val="tagtrans"/>
          <w:lang w:val="en-GB"/>
        </w:rPr>
        <w:t>"</w:t>
      </w:r>
      <w:r w:rsidRPr="0002155D">
        <w:rPr>
          <w:rStyle w:val="tagtrans"/>
          <w:lang w:val="en-GB"/>
        </w:rPr>
        <w:t xml:space="preserve"> shows that the bot verified the specified norm. By traversing the distributed run to the left, the reason for this decision becomes evident: </w:t>
      </w:r>
      <w:r w:rsidRPr="0002155D">
        <w:rPr>
          <w:rStyle w:val="tagtrans"/>
          <w:lang w:val="en-GB"/>
        </w:rPr>
        <w:lastRenderedPageBreak/>
        <w:t>The product in question (cough sirup) belongs to the product category medicine and is therefore subject to VAT.</w:t>
      </w:r>
    </w:p>
    <w:p w14:paraId="5C163BA0" w14:textId="766729DD" w:rsidR="00781BFA" w:rsidRPr="0002155D" w:rsidRDefault="00301FB3" w:rsidP="00781BFA">
      <w:pPr>
        <w:keepNext/>
        <w:rPr>
          <w:lang w:val="en-GB"/>
        </w:rPr>
      </w:pPr>
      <w:r>
        <w:rPr>
          <w:noProof/>
          <w:lang w:val="en-GB"/>
        </w:rPr>
        <w:drawing>
          <wp:inline distT="0" distB="0" distL="0" distR="0" wp14:anchorId="6EBDFE64" wp14:editId="11D5F7C1">
            <wp:extent cx="4211955" cy="1763395"/>
            <wp:effectExtent l="0" t="0" r="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211955" cy="1763395"/>
                    </a:xfrm>
                    <a:prstGeom prst="rect">
                      <a:avLst/>
                    </a:prstGeom>
                  </pic:spPr>
                </pic:pic>
              </a:graphicData>
            </a:graphic>
          </wp:inline>
        </w:drawing>
      </w:r>
    </w:p>
    <w:p w14:paraId="5BFA3E2B" w14:textId="0F466F7E" w:rsidR="00781BFA" w:rsidRPr="0002155D" w:rsidRDefault="00781BFA" w:rsidP="00781BFA">
      <w:pPr>
        <w:pStyle w:val="Beschriftung"/>
        <w:rPr>
          <w:rFonts w:cs="Times New Roman"/>
          <w:lang w:val="en-GB"/>
        </w:rPr>
      </w:pPr>
      <w:r w:rsidRPr="0002155D">
        <w:rPr>
          <w:lang w:val="en-GB"/>
        </w:rPr>
        <w:t xml:space="preserve">Figure </w:t>
      </w:r>
      <w:r w:rsidRPr="0002155D">
        <w:rPr>
          <w:lang w:val="en-GB"/>
        </w:rPr>
        <w:fldChar w:fldCharType="begin"/>
      </w:r>
      <w:r w:rsidRPr="0002155D">
        <w:rPr>
          <w:lang w:val="en-GB"/>
        </w:rPr>
        <w:instrText xml:space="preserve"> SEQ Figure \* ARABIC </w:instrText>
      </w:r>
      <w:r w:rsidRPr="0002155D">
        <w:rPr>
          <w:lang w:val="en-GB"/>
        </w:rPr>
        <w:fldChar w:fldCharType="separate"/>
      </w:r>
      <w:r w:rsidR="00D53826">
        <w:rPr>
          <w:noProof/>
          <w:lang w:val="en-GB"/>
        </w:rPr>
        <w:t>10</w:t>
      </w:r>
      <w:r w:rsidRPr="0002155D">
        <w:rPr>
          <w:lang w:val="en-GB"/>
        </w:rPr>
        <w:fldChar w:fldCharType="end"/>
      </w:r>
      <w:r w:rsidRPr="0002155D">
        <w:rPr>
          <w:lang w:val="en-GB"/>
        </w:rPr>
        <w:t>: Exempt of distributed run</w:t>
      </w:r>
    </w:p>
    <w:p w14:paraId="2A2FD7AE" w14:textId="77777777" w:rsidR="00781BFA" w:rsidRPr="0002155D" w:rsidRDefault="00781BFA" w:rsidP="00781BFA">
      <w:pPr>
        <w:rPr>
          <w:rFonts w:asciiTheme="minorHAnsi" w:hAnsiTheme="minorHAnsi" w:cs="Times New Roman"/>
          <w:lang w:val="en-GB"/>
        </w:rPr>
      </w:pPr>
      <w:r w:rsidRPr="0002155D">
        <w:rPr>
          <w:rFonts w:asciiTheme="minorHAnsi" w:hAnsiTheme="minorHAnsi" w:cs="Times New Roman"/>
          <w:lang w:val="en-GB"/>
        </w:rPr>
        <w:t xml:space="preserve">In conclusion, </w:t>
      </w:r>
      <w:r w:rsidRPr="0002155D">
        <w:rPr>
          <w:rFonts w:cs="Times New Roman"/>
          <w:smallCaps/>
          <w:lang w:val="en-GB"/>
        </w:rPr>
        <w:t>Heraklit</w:t>
      </w:r>
      <w:r w:rsidRPr="0002155D">
        <w:rPr>
          <w:rFonts w:cs="Times New Roman"/>
          <w:lang w:val="en-GB"/>
        </w:rPr>
        <w:t xml:space="preserve"> is </w:t>
      </w:r>
      <w:r>
        <w:rPr>
          <w:rFonts w:cs="Times New Roman"/>
          <w:lang w:val="en-GB"/>
        </w:rPr>
        <w:t>capable of modelling the RPA system and</w:t>
      </w:r>
      <w:r w:rsidRPr="0002155D">
        <w:rPr>
          <w:rFonts w:cs="Times New Roman"/>
          <w:lang w:val="en-GB"/>
        </w:rPr>
        <w:t xml:space="preserve"> documenting the execution of processes. The acyclic graph allows </w:t>
      </w:r>
      <w:r>
        <w:rPr>
          <w:rFonts w:cs="Times New Roman"/>
          <w:lang w:val="en-GB"/>
        </w:rPr>
        <w:t>extracting causal relationships between events and data objects, thereby enhancing</w:t>
      </w:r>
      <w:r w:rsidRPr="0002155D">
        <w:rPr>
          <w:rFonts w:cs="Times New Roman"/>
          <w:lang w:val="en-GB"/>
        </w:rPr>
        <w:t xml:space="preserve"> the explainability and understandability of RPA-Systems for business users and legal experts.</w:t>
      </w:r>
    </w:p>
    <w:p w14:paraId="087202CF" w14:textId="77777777" w:rsidR="00781BFA" w:rsidRPr="0002155D" w:rsidRDefault="00781BFA" w:rsidP="00781BFA">
      <w:pPr>
        <w:pStyle w:val="berschrift2"/>
        <w:keepLines/>
        <w:numPr>
          <w:ilvl w:val="1"/>
          <w:numId w:val="28"/>
        </w:numPr>
        <w:spacing w:before="40" w:after="0"/>
        <w:rPr>
          <w:lang w:val="en-GB"/>
        </w:rPr>
      </w:pPr>
      <w:r w:rsidRPr="0002155D">
        <w:rPr>
          <w:lang w:val="en-GB"/>
        </w:rPr>
        <w:t>Process automation through multi-agent RPA</w:t>
      </w:r>
    </w:p>
    <w:p w14:paraId="18E27573" w14:textId="77777777" w:rsidR="00781BFA" w:rsidRPr="0002155D" w:rsidRDefault="00781BFA" w:rsidP="00781BFA">
      <w:pPr>
        <w:rPr>
          <w:rFonts w:asciiTheme="minorHAnsi" w:hAnsiTheme="minorHAnsi" w:cs="Times New Roman"/>
          <w:lang w:val="en-GB"/>
        </w:rPr>
      </w:pPr>
      <w:r w:rsidRPr="0002155D">
        <w:rPr>
          <w:rFonts w:cs="Times New Roman"/>
          <w:lang w:val="en-GB"/>
        </w:rPr>
        <w:t>The model in section 4.1 describes the distributed process of intra-community supplies. Although the dynamics and the involved data objects are de</w:t>
      </w:r>
      <w:r>
        <w:rPr>
          <w:rFonts w:cs="Times New Roman"/>
          <w:lang w:val="en-GB"/>
        </w:rPr>
        <w:t>fin</w:t>
      </w:r>
      <w:r w:rsidRPr="0002155D">
        <w:rPr>
          <w:rFonts w:cs="Times New Roman"/>
          <w:lang w:val="en-GB"/>
        </w:rPr>
        <w:t>ed, the model is technology agnostic. The following section will describe the transfer of this model onto specific multi-agent RPA implementations.</w:t>
      </w:r>
    </w:p>
    <w:p w14:paraId="42C083BC" w14:textId="77777777" w:rsidR="00781BFA" w:rsidRPr="0002155D" w:rsidRDefault="00781BFA" w:rsidP="00781BFA">
      <w:pPr>
        <w:rPr>
          <w:rFonts w:cs="Times New Roman"/>
          <w:lang w:val="en-GB"/>
        </w:rPr>
      </w:pPr>
      <w:r w:rsidRPr="0002155D">
        <w:rPr>
          <w:rFonts w:cs="Times New Roman"/>
          <w:lang w:val="en-GB"/>
        </w:rPr>
        <w:t xml:space="preserve">Research has shown that the division of larger process automation into smaller fragments </w:t>
      </w:r>
      <w:r>
        <w:rPr>
          <w:rFonts w:cs="Times New Roman"/>
          <w:lang w:val="en-GB"/>
        </w:rPr>
        <w:t>reduces maintenance costs and improves the whole system's understandability</w:t>
      </w:r>
      <w:r w:rsidRPr="0002155D">
        <w:rPr>
          <w:rFonts w:cs="Times New Roman"/>
          <w:lang w:val="en-GB"/>
        </w:rPr>
        <w:t xml:space="preserve">. This is also reflected in the </w:t>
      </w:r>
      <w:r w:rsidRPr="0002155D">
        <w:rPr>
          <w:rFonts w:cs="Times New Roman"/>
          <w:smallCaps/>
          <w:lang w:val="en-GB"/>
        </w:rPr>
        <w:t>Heraklit</w:t>
      </w:r>
      <w:r w:rsidRPr="0002155D">
        <w:rPr>
          <w:rFonts w:cs="Times New Roman"/>
          <w:lang w:val="en-GB"/>
        </w:rPr>
        <w:t xml:space="preserve"> model. For an initial understanding of the assessment process</w:t>
      </w:r>
      <w:r>
        <w:rPr>
          <w:rFonts w:cs="Times New Roman"/>
          <w:lang w:val="en-GB"/>
        </w:rPr>
        <w:t>,</w:t>
      </w:r>
      <w:r w:rsidRPr="0002155D">
        <w:rPr>
          <w:rFonts w:cs="Times New Roman"/>
          <w:lang w:val="en-GB"/>
        </w:rPr>
        <w:t xml:space="preserve"> only the modules and their interfaces are utilised. The inner logic of each process is abstracted. This representation can be directly transferred to the RPA implementation. Each module can be implemented as </w:t>
      </w:r>
      <w:r>
        <w:rPr>
          <w:rFonts w:cs="Times New Roman"/>
          <w:lang w:val="en-GB"/>
        </w:rPr>
        <w:t xml:space="preserve">a </w:t>
      </w:r>
      <w:r w:rsidRPr="0002155D">
        <w:rPr>
          <w:rFonts w:cs="Times New Roman"/>
          <w:lang w:val="en-GB"/>
        </w:rPr>
        <w:t>separate RPA-Agent</w:t>
      </w:r>
      <w:r>
        <w:rPr>
          <w:rFonts w:cs="Times New Roman"/>
          <w:lang w:val="en-GB"/>
        </w:rPr>
        <w:t>,</w:t>
      </w:r>
      <w:r w:rsidRPr="0002155D">
        <w:rPr>
          <w:rFonts w:cs="Times New Roman"/>
          <w:lang w:val="en-GB"/>
        </w:rPr>
        <w:t xml:space="preserve"> and the interfaces depict the communication channels and the expected information exchange.</w:t>
      </w:r>
    </w:p>
    <w:p w14:paraId="6E8A9DA8" w14:textId="77777777" w:rsidR="00781BFA" w:rsidRPr="0002155D" w:rsidRDefault="00781BFA" w:rsidP="00781BFA">
      <w:pPr>
        <w:rPr>
          <w:rFonts w:cs="Times New Roman"/>
          <w:lang w:val="en-GB"/>
        </w:rPr>
      </w:pPr>
      <w:r w:rsidRPr="0002155D">
        <w:rPr>
          <w:rFonts w:cs="Times New Roman"/>
          <w:lang w:val="en-GB"/>
        </w:rPr>
        <w:t>A principal design question when constructing modular RPA automation is whether to connect bots via choreography or orchestration. In an orchestrated execution</w:t>
      </w:r>
      <w:r>
        <w:rPr>
          <w:rFonts w:cs="Times New Roman"/>
          <w:lang w:val="en-GB"/>
        </w:rPr>
        <w:t>,</w:t>
      </w:r>
      <w:r w:rsidRPr="0002155D">
        <w:rPr>
          <w:rFonts w:cs="Times New Roman"/>
          <w:lang w:val="en-GB"/>
        </w:rPr>
        <w:t xml:space="preserve"> a </w:t>
      </w:r>
      <w:r>
        <w:rPr>
          <w:rFonts w:cs="Times New Roman"/>
          <w:lang w:val="en-GB"/>
        </w:rPr>
        <w:t xml:space="preserve">central </w:t>
      </w:r>
      <w:r w:rsidRPr="0002155D">
        <w:rPr>
          <w:rFonts w:cs="Times New Roman"/>
          <w:lang w:val="en-GB"/>
        </w:rPr>
        <w:t xml:space="preserve">party like a process engine or a workflow </w:t>
      </w:r>
      <w:r w:rsidRPr="0002155D">
        <w:rPr>
          <w:rFonts w:cs="Times New Roman"/>
          <w:lang w:val="en-GB"/>
        </w:rPr>
        <w:lastRenderedPageBreak/>
        <w:t>management system communicates with each bot individually and controls their collaboration.</w:t>
      </w:r>
      <w:sdt>
        <w:sdtPr>
          <w:rPr>
            <w:rFonts w:cs="Times New Roman"/>
            <w:lang w:val="en-GB"/>
          </w:rPr>
          <w:id w:val="872801548"/>
          <w:citation/>
        </w:sdtPr>
        <w:sdtEndPr/>
        <w:sdtContent>
          <w:r w:rsidRPr="0002155D">
            <w:rPr>
              <w:rFonts w:cs="Times New Roman"/>
              <w:lang w:val="en-GB"/>
            </w:rPr>
            <w:fldChar w:fldCharType="begin"/>
          </w:r>
          <w:r w:rsidRPr="0002155D">
            <w:rPr>
              <w:rFonts w:cs="Times New Roman"/>
              <w:lang w:val="en-GB"/>
            </w:rPr>
            <w:instrText xml:space="preserve"> CITATION Men08 \l 1031 </w:instrText>
          </w:r>
          <w:r w:rsidRPr="0002155D">
            <w:rPr>
              <w:rFonts w:cs="Times New Roman"/>
              <w:lang w:val="en-GB"/>
            </w:rPr>
            <w:fldChar w:fldCharType="separate"/>
          </w:r>
          <w:r w:rsidRPr="0002155D">
            <w:rPr>
              <w:rFonts w:cs="Times New Roman"/>
              <w:noProof/>
              <w:lang w:val="en-GB"/>
            </w:rPr>
            <w:t xml:space="preserve"> (Mendling &amp; Michael, 2008)</w:t>
          </w:r>
          <w:r w:rsidRPr="0002155D">
            <w:rPr>
              <w:rFonts w:cs="Times New Roman"/>
              <w:lang w:val="en-GB"/>
            </w:rPr>
            <w:fldChar w:fldCharType="end"/>
          </w:r>
        </w:sdtContent>
      </w:sdt>
      <w:r w:rsidRPr="0002155D">
        <w:rPr>
          <w:rFonts w:cs="Times New Roman"/>
          <w:lang w:val="en-GB"/>
        </w:rPr>
        <w:t xml:space="preserve"> Workflow engines are centrali</w:t>
      </w:r>
      <w:r>
        <w:rPr>
          <w:rFonts w:cs="Times New Roman"/>
          <w:lang w:val="en-GB"/>
        </w:rPr>
        <w:t>s</w:t>
      </w:r>
      <w:r w:rsidRPr="0002155D">
        <w:rPr>
          <w:rFonts w:cs="Times New Roman"/>
          <w:lang w:val="en-GB"/>
        </w:rPr>
        <w:t xml:space="preserve">ed services </w:t>
      </w:r>
      <w:r>
        <w:rPr>
          <w:rFonts w:cs="Times New Roman"/>
          <w:lang w:val="en-GB"/>
        </w:rPr>
        <w:t>that</w:t>
      </w:r>
      <w:r w:rsidRPr="0002155D">
        <w:rPr>
          <w:rFonts w:cs="Times New Roman"/>
          <w:lang w:val="en-GB"/>
        </w:rPr>
        <w:t xml:space="preserve"> were designed to orchestrate processes within an organi</w:t>
      </w:r>
      <w:r>
        <w:rPr>
          <w:rFonts w:cs="Times New Roman"/>
          <w:lang w:val="en-GB"/>
        </w:rPr>
        <w:t>s</w:t>
      </w:r>
      <w:r w:rsidRPr="0002155D">
        <w:rPr>
          <w:rFonts w:cs="Times New Roman"/>
          <w:lang w:val="en-GB"/>
        </w:rPr>
        <w:t>ation. The idea to control process step executions in multiple systems through one centrali</w:t>
      </w:r>
      <w:r>
        <w:rPr>
          <w:rFonts w:cs="Times New Roman"/>
          <w:lang w:val="en-GB"/>
        </w:rPr>
        <w:t>s</w:t>
      </w:r>
      <w:r w:rsidRPr="0002155D">
        <w:rPr>
          <w:rFonts w:cs="Times New Roman"/>
          <w:lang w:val="en-GB"/>
        </w:rPr>
        <w:t xml:space="preserve">ed system suffers from the following problems: A central workflow engine is a Single Point of Failure (SPOF) and hard to scale to large, distributed enterprise settings. In </w:t>
      </w:r>
      <w:r>
        <w:rPr>
          <w:rFonts w:cs="Times New Roman"/>
          <w:lang w:val="en-GB"/>
        </w:rPr>
        <w:t>A</w:t>
      </w:r>
      <w:r w:rsidRPr="0002155D">
        <w:rPr>
          <w:rFonts w:cs="Times New Roman"/>
          <w:lang w:val="en-GB"/>
        </w:rPr>
        <w:t>ddition, they require a single agreed</w:t>
      </w:r>
      <w:r>
        <w:rPr>
          <w:rFonts w:cs="Times New Roman"/>
          <w:lang w:val="en-GB"/>
        </w:rPr>
        <w:t>-</w:t>
      </w:r>
      <w:r w:rsidRPr="0002155D">
        <w:rPr>
          <w:rFonts w:cs="Times New Roman"/>
          <w:lang w:val="en-GB"/>
        </w:rPr>
        <w:t xml:space="preserve">upon process model. Although this might be possible in intra-enterprise processes, this becomes </w:t>
      </w:r>
      <w:r w:rsidRPr="0002155D">
        <w:rPr>
          <w:rStyle w:val="tagtrans"/>
          <w:lang w:val="en-GB"/>
        </w:rPr>
        <w:t>highly unlikely</w:t>
      </w:r>
      <w:r w:rsidRPr="0002155D">
        <w:rPr>
          <w:rFonts w:cs="Times New Roman"/>
          <w:lang w:val="en-GB"/>
        </w:rPr>
        <w:t xml:space="preserve"> in inter-enterprise settings. This is especially true for value-added tax assessments since a single invoice might only involve two entrepreneurs</w:t>
      </w:r>
      <w:r>
        <w:rPr>
          <w:rFonts w:cs="Times New Roman"/>
          <w:lang w:val="en-GB"/>
        </w:rPr>
        <w:t>. Still,</w:t>
      </w:r>
      <w:r w:rsidRPr="0002155D">
        <w:rPr>
          <w:rFonts w:cs="Times New Roman"/>
          <w:lang w:val="en-GB"/>
        </w:rPr>
        <w:t xml:space="preserve"> the company assesses massive amounts of invoice</w:t>
      </w:r>
      <w:r>
        <w:rPr>
          <w:rFonts w:cs="Times New Roman"/>
          <w:lang w:val="en-GB"/>
        </w:rPr>
        <w:t>s</w:t>
      </w:r>
      <w:r w:rsidRPr="0002155D">
        <w:rPr>
          <w:rFonts w:cs="Times New Roman"/>
          <w:lang w:val="en-GB"/>
        </w:rPr>
        <w:t xml:space="preserve"> with numerous suppliers and clients.</w:t>
      </w:r>
    </w:p>
    <w:p w14:paraId="56CF387B" w14:textId="77777777" w:rsidR="00781BFA" w:rsidRPr="0002155D" w:rsidRDefault="00781BFA" w:rsidP="00781BFA">
      <w:pPr>
        <w:rPr>
          <w:rFonts w:cs="Times New Roman"/>
          <w:lang w:val="en-GB"/>
        </w:rPr>
      </w:pPr>
      <w:r w:rsidRPr="0002155D">
        <w:rPr>
          <w:rFonts w:cs="Times New Roman"/>
          <w:lang w:val="en-GB"/>
        </w:rPr>
        <w:t>A choreographic approach</w:t>
      </w:r>
      <w:r>
        <w:rPr>
          <w:rFonts w:cs="Times New Roman"/>
          <w:lang w:val="en-GB"/>
        </w:rPr>
        <w:t>,</w:t>
      </w:r>
      <w:r w:rsidRPr="0002155D">
        <w:rPr>
          <w:rFonts w:cs="Times New Roman"/>
          <w:lang w:val="en-GB"/>
        </w:rPr>
        <w:t xml:space="preserve"> on the other hand</w:t>
      </w:r>
      <w:r>
        <w:rPr>
          <w:rFonts w:cs="Times New Roman"/>
          <w:lang w:val="en-GB"/>
        </w:rPr>
        <w:t>,</w:t>
      </w:r>
      <w:r w:rsidRPr="0002155D">
        <w:rPr>
          <w:rFonts w:cs="Times New Roman"/>
          <w:lang w:val="en-GB"/>
        </w:rPr>
        <w:t xml:space="preserve"> imposes </w:t>
      </w:r>
      <w:r>
        <w:rPr>
          <w:rFonts w:cs="Times New Roman"/>
          <w:lang w:val="en-GB"/>
        </w:rPr>
        <w:t>fewer</w:t>
      </w:r>
      <w:r w:rsidRPr="0002155D">
        <w:rPr>
          <w:rFonts w:cs="Times New Roman"/>
          <w:lang w:val="en-GB"/>
        </w:rPr>
        <w:t xml:space="preserve"> restrictions </w:t>
      </w:r>
      <w:r>
        <w:rPr>
          <w:rFonts w:cs="Times New Roman"/>
          <w:lang w:val="en-GB"/>
        </w:rPr>
        <w:t>on</w:t>
      </w:r>
      <w:r w:rsidRPr="0002155D">
        <w:rPr>
          <w:rFonts w:cs="Times New Roman"/>
          <w:lang w:val="en-GB"/>
        </w:rPr>
        <w:t xml:space="preserve"> the stakeholders. The stakeholders </w:t>
      </w:r>
      <w:r>
        <w:rPr>
          <w:rFonts w:cs="Times New Roman"/>
          <w:lang w:val="en-GB"/>
        </w:rPr>
        <w:t>instead</w:t>
      </w:r>
      <w:r w:rsidRPr="0002155D">
        <w:rPr>
          <w:rFonts w:cs="Times New Roman"/>
          <w:lang w:val="en-GB"/>
        </w:rPr>
        <w:t xml:space="preserve"> agree upon a model describing how information is exchanged. Each stakeholder can independently decide on the internal architecture of the services he contributes as long as they implement the underlying choreography model.</w:t>
      </w:r>
      <w:sdt>
        <w:sdtPr>
          <w:rPr>
            <w:rFonts w:cs="Times New Roman"/>
            <w:lang w:val="en-GB"/>
          </w:rPr>
          <w:id w:val="-32588925"/>
          <w:citation/>
        </w:sdtPr>
        <w:sdtEndPr/>
        <w:sdtContent>
          <w:r w:rsidRPr="0002155D">
            <w:rPr>
              <w:rFonts w:cs="Times New Roman"/>
              <w:lang w:val="en-GB"/>
            </w:rPr>
            <w:fldChar w:fldCharType="begin"/>
          </w:r>
          <w:r w:rsidRPr="0002155D">
            <w:rPr>
              <w:rFonts w:cs="Times New Roman"/>
              <w:lang w:val="en-GB"/>
            </w:rPr>
            <w:instrText xml:space="preserve"> CITATION Men08 \l 1031 </w:instrText>
          </w:r>
          <w:r w:rsidRPr="0002155D">
            <w:rPr>
              <w:rFonts w:cs="Times New Roman"/>
              <w:lang w:val="en-GB"/>
            </w:rPr>
            <w:fldChar w:fldCharType="separate"/>
          </w:r>
          <w:r w:rsidRPr="0002155D">
            <w:rPr>
              <w:rFonts w:cs="Times New Roman"/>
              <w:noProof/>
              <w:lang w:val="en-GB"/>
            </w:rPr>
            <w:t xml:space="preserve"> (Mendling &amp; Michael, 2008)</w:t>
          </w:r>
          <w:r w:rsidRPr="0002155D">
            <w:rPr>
              <w:rFonts w:cs="Times New Roman"/>
              <w:lang w:val="en-GB"/>
            </w:rPr>
            <w:fldChar w:fldCharType="end"/>
          </w:r>
        </w:sdtContent>
      </w:sdt>
      <w:r w:rsidRPr="0002155D">
        <w:rPr>
          <w:rFonts w:cs="Times New Roman"/>
          <w:lang w:val="en-GB"/>
        </w:rPr>
        <w:t xml:space="preserve"> This approach is more modular and robust to changes.</w:t>
      </w:r>
    </w:p>
    <w:p w14:paraId="66B6A9A9" w14:textId="77777777" w:rsidR="00781BFA" w:rsidRPr="0002155D" w:rsidRDefault="00781BFA" w:rsidP="00781BFA">
      <w:pPr>
        <w:rPr>
          <w:rFonts w:cs="Times New Roman"/>
          <w:lang w:val="en-GB"/>
        </w:rPr>
      </w:pPr>
      <w:r w:rsidRPr="0002155D">
        <w:rPr>
          <w:rFonts w:cs="Times New Roman"/>
          <w:lang w:val="en-GB"/>
        </w:rPr>
        <w:t xml:space="preserve">The </w:t>
      </w:r>
      <w:r w:rsidRPr="0002155D">
        <w:rPr>
          <w:rFonts w:cs="Times New Roman"/>
          <w:smallCaps/>
          <w:lang w:val="en-GB"/>
        </w:rPr>
        <w:t>Heraklit</w:t>
      </w:r>
      <w:r w:rsidRPr="0002155D">
        <w:rPr>
          <w:rFonts w:cs="Times New Roman"/>
          <w:lang w:val="en-GB"/>
        </w:rPr>
        <w:t xml:space="preserve"> Modell imposes a choreographed solution where the gates at each module interface represent the information channels. Each module can be implemented as a separate RPA-Bot</w:t>
      </w:r>
      <w:r>
        <w:rPr>
          <w:rFonts w:cs="Times New Roman"/>
          <w:lang w:val="en-GB"/>
        </w:rPr>
        <w:t>,</w:t>
      </w:r>
      <w:r w:rsidRPr="0002155D">
        <w:rPr>
          <w:rFonts w:cs="Times New Roman"/>
          <w:lang w:val="en-GB"/>
        </w:rPr>
        <w:t xml:space="preserve"> and the interface defines the required communication with other parts of the system. Furthermore, this architecture can be scaled to other tax-related automation without the need </w:t>
      </w:r>
      <w:r>
        <w:rPr>
          <w:rFonts w:cs="Times New Roman"/>
          <w:lang w:val="en-GB"/>
        </w:rPr>
        <w:t>for</w:t>
      </w:r>
      <w:r w:rsidRPr="0002155D">
        <w:rPr>
          <w:rFonts w:cs="Times New Roman"/>
          <w:lang w:val="en-GB"/>
        </w:rPr>
        <w:t xml:space="preserve"> one unified model. Therefore, Aalst describes RPA as </w:t>
      </w:r>
      <w:r>
        <w:rPr>
          <w:rFonts w:cs="Times New Roman"/>
          <w:lang w:val="en-GB"/>
        </w:rPr>
        <w:t>"</w:t>
      </w:r>
      <w:r w:rsidRPr="0002155D">
        <w:rPr>
          <w:rFonts w:cs="Times New Roman"/>
          <w:lang w:val="en-GB"/>
        </w:rPr>
        <w:t>BPMS for the poor</w:t>
      </w:r>
      <w:r>
        <w:rPr>
          <w:rFonts w:cs="Times New Roman"/>
          <w:lang w:val="en-GB"/>
        </w:rPr>
        <w:t>"</w:t>
      </w:r>
      <w:r w:rsidRPr="0002155D">
        <w:rPr>
          <w:rFonts w:cs="Times New Roman"/>
          <w:lang w:val="en-GB"/>
        </w:rPr>
        <w:t xml:space="preserve"> since it is a loosely coupled and cheap connection of IT systems with a business process perspective. </w:t>
      </w:r>
      <w:sdt>
        <w:sdtPr>
          <w:rPr>
            <w:rFonts w:cs="Times New Roman"/>
            <w:lang w:val="en-GB"/>
          </w:rPr>
          <w:id w:val="1506634978"/>
          <w:citation/>
        </w:sdtPr>
        <w:sdtEndPr/>
        <w:sdtContent>
          <w:r w:rsidRPr="0002155D">
            <w:rPr>
              <w:rFonts w:cs="Times New Roman"/>
              <w:lang w:val="en-GB"/>
            </w:rPr>
            <w:fldChar w:fldCharType="begin"/>
          </w:r>
          <w:r w:rsidRPr="0002155D">
            <w:rPr>
              <w:rFonts w:cs="Times New Roman"/>
              <w:lang w:val="en-GB"/>
            </w:rPr>
            <w:instrText xml:space="preserve">CITATION Aal21 \l 1031 </w:instrText>
          </w:r>
          <w:r w:rsidRPr="0002155D">
            <w:rPr>
              <w:rFonts w:cs="Times New Roman"/>
              <w:lang w:val="en-GB"/>
            </w:rPr>
            <w:fldChar w:fldCharType="separate"/>
          </w:r>
          <w:r w:rsidRPr="0002155D">
            <w:rPr>
              <w:rFonts w:cs="Times New Roman"/>
              <w:noProof/>
              <w:lang w:val="en-GB"/>
            </w:rPr>
            <w:t>(van der Aalst W. M., 2021)</w:t>
          </w:r>
          <w:r w:rsidRPr="0002155D">
            <w:rPr>
              <w:rFonts w:cs="Times New Roman"/>
              <w:lang w:val="en-GB"/>
            </w:rPr>
            <w:fldChar w:fldCharType="end"/>
          </w:r>
        </w:sdtContent>
      </w:sdt>
    </w:p>
    <w:p w14:paraId="0897B694" w14:textId="77777777" w:rsidR="00781BFA" w:rsidRPr="0002155D" w:rsidRDefault="00781BFA" w:rsidP="00781BFA">
      <w:pPr>
        <w:pStyle w:val="berschrift1"/>
        <w:keepLines/>
        <w:numPr>
          <w:ilvl w:val="0"/>
          <w:numId w:val="28"/>
        </w:numPr>
        <w:spacing w:before="240" w:after="0"/>
        <w:rPr>
          <w:lang w:val="en-GB"/>
        </w:rPr>
      </w:pPr>
      <w:r w:rsidRPr="0002155D">
        <w:rPr>
          <w:lang w:val="en-GB"/>
        </w:rPr>
        <w:t>Discussion</w:t>
      </w:r>
    </w:p>
    <w:p w14:paraId="3F43FABF" w14:textId="3F2EF464" w:rsidR="00781BFA" w:rsidRDefault="00781BFA" w:rsidP="00781BFA">
      <w:pPr>
        <w:rPr>
          <w:lang w:val="en-GB"/>
        </w:rPr>
      </w:pPr>
      <w:r w:rsidRPr="0002155D">
        <w:rPr>
          <w:lang w:val="en-GB"/>
        </w:rPr>
        <w:t xml:space="preserve">This case study showed </w:t>
      </w:r>
      <w:r>
        <w:rPr>
          <w:lang w:val="en-GB"/>
        </w:rPr>
        <w:t xml:space="preserve">the </w:t>
      </w:r>
      <w:r w:rsidRPr="0002155D">
        <w:rPr>
          <w:lang w:val="en-GB"/>
        </w:rPr>
        <w:t xml:space="preserve">ability of </w:t>
      </w:r>
      <w:r w:rsidRPr="0002155D">
        <w:rPr>
          <w:rFonts w:cs="Times New Roman"/>
          <w:smallCaps/>
          <w:lang w:val="en-GB"/>
        </w:rPr>
        <w:t>Heraklit</w:t>
      </w:r>
      <w:r w:rsidRPr="0002155D">
        <w:rPr>
          <w:lang w:val="en-GB"/>
        </w:rPr>
        <w:t xml:space="preserve"> to describe the logic of an intra-community verification process. We were able to model the status quo of the legal experts and the automated process with RPA-bots. Through modelling the verification process with legal experts, the complexity of taxation automation became visible. Even though multiple simplifying assumptions were made, the model complexity had to be reduced through modularisation.</w:t>
      </w:r>
    </w:p>
    <w:p w14:paraId="076264BE" w14:textId="22DF1A25" w:rsidR="00B157E2" w:rsidRPr="00F32F95" w:rsidRDefault="00B157E2" w:rsidP="00781BFA">
      <w:pPr>
        <w:rPr>
          <w:lang w:val="en-GB"/>
        </w:rPr>
      </w:pPr>
      <w:r w:rsidRPr="00F32F95">
        <w:rPr>
          <w:lang w:val="en-GB"/>
        </w:rPr>
        <w:lastRenderedPageBreak/>
        <w:t>The contribution focuses on the modelling perspective of complex interdependent systems of bots to automate entire workflows and legal decision making. The implementation is not in the scope of this contribution.</w:t>
      </w:r>
    </w:p>
    <w:p w14:paraId="2DF746F5" w14:textId="13041A67" w:rsidR="00781BFA" w:rsidRPr="0002155D" w:rsidRDefault="00781BFA" w:rsidP="00781BFA">
      <w:pPr>
        <w:rPr>
          <w:lang w:val="en-GB"/>
        </w:rPr>
      </w:pPr>
      <w:r w:rsidRPr="00F32F95">
        <w:rPr>
          <w:lang w:val="en-GB"/>
        </w:rPr>
        <w:t xml:space="preserve">Splitting the verification process into smaller, independent </w:t>
      </w:r>
      <w:r w:rsidRPr="0002155D">
        <w:rPr>
          <w:lang w:val="en-GB"/>
        </w:rPr>
        <w:t>bots not only enhances the understandabil</w:t>
      </w:r>
      <w:r>
        <w:rPr>
          <w:lang w:val="en-GB"/>
        </w:rPr>
        <w:t>i</w:t>
      </w:r>
      <w:r w:rsidRPr="0002155D">
        <w:rPr>
          <w:lang w:val="en-GB"/>
        </w:rPr>
        <w:t xml:space="preserve">ty but also leverages the benefits of </w:t>
      </w:r>
      <w:r w:rsidR="00FC0FEB">
        <w:rPr>
          <w:lang w:val="en-GB"/>
        </w:rPr>
        <w:t>concurrent</w:t>
      </w:r>
      <w:r w:rsidRPr="0002155D">
        <w:rPr>
          <w:lang w:val="en-GB"/>
        </w:rPr>
        <w:t xml:space="preserve"> computing and modularisation:</w:t>
      </w:r>
    </w:p>
    <w:p w14:paraId="0269E91E" w14:textId="77777777" w:rsidR="00781BFA" w:rsidRPr="0002155D" w:rsidRDefault="00781BFA" w:rsidP="00781BFA">
      <w:pPr>
        <w:pStyle w:val="Listenabsatz"/>
        <w:numPr>
          <w:ilvl w:val="0"/>
          <w:numId w:val="36"/>
        </w:numPr>
        <w:rPr>
          <w:lang w:val="en-GB"/>
        </w:rPr>
      </w:pPr>
      <w:r w:rsidRPr="0002155D">
        <w:rPr>
          <w:lang w:val="en-GB"/>
        </w:rPr>
        <w:t xml:space="preserve">The bots are easier to maintain since the complexity of one bot is reduced. </w:t>
      </w:r>
    </w:p>
    <w:p w14:paraId="3420DBA5" w14:textId="77777777" w:rsidR="00781BFA" w:rsidRPr="0002155D" w:rsidRDefault="00781BFA" w:rsidP="00781BFA">
      <w:pPr>
        <w:pStyle w:val="Listenabsatz"/>
        <w:numPr>
          <w:ilvl w:val="0"/>
          <w:numId w:val="36"/>
        </w:numPr>
        <w:rPr>
          <w:lang w:val="en-GB"/>
        </w:rPr>
      </w:pPr>
      <w:r w:rsidRPr="0002155D">
        <w:rPr>
          <w:lang w:val="en-GB"/>
        </w:rPr>
        <w:t>For semi-automated processes, modularisation allows for more elaborate tasks to be left to human workers.</w:t>
      </w:r>
    </w:p>
    <w:p w14:paraId="6B97282D" w14:textId="77777777" w:rsidR="00781BFA" w:rsidRPr="0002155D" w:rsidRDefault="00781BFA" w:rsidP="00781BFA">
      <w:pPr>
        <w:pStyle w:val="Listenabsatz"/>
        <w:numPr>
          <w:ilvl w:val="0"/>
          <w:numId w:val="36"/>
        </w:numPr>
        <w:rPr>
          <w:lang w:val="en-GB"/>
        </w:rPr>
      </w:pPr>
      <w:r w:rsidRPr="0002155D">
        <w:rPr>
          <w:lang w:val="en-GB"/>
        </w:rPr>
        <w:t>Hardware provisioning can be adapted more adequately to the requirements of each bot. For example, neural network</w:t>
      </w:r>
      <w:r>
        <w:rPr>
          <w:lang w:val="en-GB"/>
        </w:rPr>
        <w:t>-</w:t>
      </w:r>
      <w:r w:rsidRPr="0002155D">
        <w:rPr>
          <w:lang w:val="en-GB"/>
        </w:rPr>
        <w:t>based optical character recognition in a document might need GPU</w:t>
      </w:r>
      <w:r>
        <w:rPr>
          <w:lang w:val="en-GB"/>
        </w:rPr>
        <w:t xml:space="preserve"> </w:t>
      </w:r>
      <w:r w:rsidRPr="0002155D">
        <w:rPr>
          <w:lang w:val="en-GB"/>
        </w:rPr>
        <w:t>acceleration</w:t>
      </w:r>
      <w:r>
        <w:rPr>
          <w:lang w:val="en-GB"/>
        </w:rPr>
        <w:t>,</w:t>
      </w:r>
      <w:r w:rsidRPr="0002155D">
        <w:rPr>
          <w:lang w:val="en-GB"/>
        </w:rPr>
        <w:t xml:space="preserve"> whereas classical front-end automation performance economic.</w:t>
      </w:r>
    </w:p>
    <w:p w14:paraId="20ED3206" w14:textId="74B66BB8" w:rsidR="00781BFA" w:rsidRPr="0002155D" w:rsidRDefault="00781BFA" w:rsidP="00781BFA">
      <w:pPr>
        <w:rPr>
          <w:lang w:val="en-GB"/>
        </w:rPr>
      </w:pPr>
      <w:r w:rsidRPr="0002155D">
        <w:rPr>
          <w:lang w:val="en-GB"/>
        </w:rPr>
        <w:t>In this context, it should be mentioned that a sequential control flow that breaks when encountering KO-criteria might be more resource</w:t>
      </w:r>
      <w:r>
        <w:rPr>
          <w:lang w:val="en-GB"/>
        </w:rPr>
        <w:t>-</w:t>
      </w:r>
      <w:r w:rsidRPr="0002155D">
        <w:rPr>
          <w:lang w:val="en-GB"/>
        </w:rPr>
        <w:t>efficient in obtaining a result since the execution would stop at an earlier point in the verification process. On the other hand, a concurrent solution ensures that each verification task is completed and that the resulting documentation is always comprehensive.</w:t>
      </w:r>
    </w:p>
    <w:p w14:paraId="46A4C468" w14:textId="77777777" w:rsidR="00781BFA" w:rsidRPr="0002155D" w:rsidRDefault="00781BFA" w:rsidP="00781BFA">
      <w:pPr>
        <w:rPr>
          <w:rFonts w:cs="Times New Roman"/>
          <w:lang w:val="en-GB"/>
        </w:rPr>
      </w:pPr>
      <w:r w:rsidRPr="0002155D">
        <w:rPr>
          <w:rFonts w:cs="Times New Roman"/>
          <w:lang w:val="en-GB"/>
        </w:rPr>
        <w:t xml:space="preserve">Moreover, the graph-based documentation of the process events enables business users, tax office officials and legal experts to extract causal relationships. Although, the distributed form of legal assessment might seem unusual to legal experts. This is </w:t>
      </w:r>
      <w:r>
        <w:rPr>
          <w:rFonts w:cs="Times New Roman"/>
          <w:lang w:val="en-GB"/>
        </w:rPr>
        <w:t>primari</w:t>
      </w:r>
      <w:r w:rsidRPr="0002155D">
        <w:rPr>
          <w:rFonts w:cs="Times New Roman"/>
          <w:lang w:val="en-GB"/>
        </w:rPr>
        <w:t>ly due to the fact that a verification assignment would not be split into such small tasks. The communication overhead to pass a minimal verification task to a co-worker would exceed the time to perform the actual verification. For example, the time requirements for writing an email with the assignment: Please check the following VAT-ID is equivalent to entering the VAT-ID into the form of the Federal Central Tax Office. This does not apply to RPA-Bots communicating with each other.</w:t>
      </w:r>
    </w:p>
    <w:p w14:paraId="3A0F9469" w14:textId="77777777" w:rsidR="00781BFA" w:rsidRPr="0002155D" w:rsidRDefault="00781BFA" w:rsidP="00781BFA">
      <w:pPr>
        <w:rPr>
          <w:rFonts w:asciiTheme="minorHAnsi" w:hAnsiTheme="minorHAnsi" w:cs="Times New Roman"/>
          <w:lang w:val="en-GB"/>
        </w:rPr>
      </w:pPr>
      <w:r w:rsidRPr="0002155D">
        <w:rPr>
          <w:rFonts w:cs="Times New Roman"/>
          <w:lang w:val="en-GB"/>
        </w:rPr>
        <w:t>Furthermore, we believe the presentation of RPA-execution logs as distributed runs which are based on the process model developed by business users</w:t>
      </w:r>
      <w:r>
        <w:rPr>
          <w:rFonts w:cs="Times New Roman"/>
          <w:lang w:val="en-GB"/>
        </w:rPr>
        <w:t>,</w:t>
      </w:r>
      <w:r w:rsidRPr="0002155D">
        <w:rPr>
          <w:rFonts w:cs="Times New Roman"/>
          <w:lang w:val="en-GB"/>
        </w:rPr>
        <w:t xml:space="preserve"> </w:t>
      </w:r>
      <w:r>
        <w:rPr>
          <w:rFonts w:cs="Times New Roman"/>
          <w:lang w:val="en-GB"/>
        </w:rPr>
        <w:t>dramatical</w:t>
      </w:r>
      <w:r w:rsidRPr="0002155D">
        <w:rPr>
          <w:rFonts w:cs="Times New Roman"/>
          <w:lang w:val="en-GB"/>
        </w:rPr>
        <w:t>ly enhances the understandability of such systems for non-technical employees.</w:t>
      </w:r>
    </w:p>
    <w:p w14:paraId="02BD56B1" w14:textId="77777777" w:rsidR="00781BFA" w:rsidRPr="0002155D" w:rsidRDefault="00781BFA" w:rsidP="00781BFA">
      <w:pPr>
        <w:rPr>
          <w:lang w:val="en-GB"/>
        </w:rPr>
      </w:pPr>
      <w:r>
        <w:rPr>
          <w:lang w:val="en-GB"/>
        </w:rPr>
        <w:lastRenderedPageBreak/>
        <w:t>By using</w:t>
      </w:r>
      <w:r w:rsidRPr="0002155D">
        <w:rPr>
          <w:lang w:val="en-GB"/>
        </w:rPr>
        <w:t xml:space="preserve"> individual transitions for each verification step, we were able to link individual bot activities to their corresponding legal norm. This is another enhancement of the documentation since each activity is linked to its semantics. Through this link, tax office officials are enabled to validate the semantic equivalency between the bot actions and the intended meanings of the legal norm.</w:t>
      </w:r>
    </w:p>
    <w:p w14:paraId="34B36FE9" w14:textId="4F8972D7" w:rsidR="00781BFA" w:rsidRDefault="00781BFA" w:rsidP="00781BFA">
      <w:pPr>
        <w:rPr>
          <w:lang w:val="en-GB"/>
        </w:rPr>
      </w:pPr>
      <w:r w:rsidRPr="0002155D">
        <w:rPr>
          <w:lang w:val="en-GB"/>
        </w:rPr>
        <w:t>Unfortunately, to create an RPA implementation that fully automates the verification process, further aspects of the model need to be specified. As mentioned earlier, the validation of the confirmation of arrival should be modelled in itself</w:t>
      </w:r>
      <w:r>
        <w:rPr>
          <w:lang w:val="en-GB"/>
        </w:rPr>
        <w:t>,</w:t>
      </w:r>
      <w:r w:rsidRPr="0002155D">
        <w:rPr>
          <w:lang w:val="en-GB"/>
        </w:rPr>
        <w:t xml:space="preserve"> and the maintenance of the partner status should be considered for automation. Through the modularisation capabilities of </w:t>
      </w:r>
      <w:r w:rsidRPr="0002155D">
        <w:rPr>
          <w:rFonts w:cs="Times New Roman"/>
          <w:smallCaps/>
          <w:lang w:val="en-GB"/>
        </w:rPr>
        <w:t>Heraklit</w:t>
      </w:r>
      <w:r w:rsidRPr="0002155D">
        <w:rPr>
          <w:lang w:val="en-GB"/>
        </w:rPr>
        <w:t xml:space="preserve">, these models can be integrated seamlessly into the existing work. The modularisation furthermore allows to switch individual components: the module </w:t>
      </w:r>
      <w:r>
        <w:rPr>
          <w:lang w:val="en-GB"/>
        </w:rPr>
        <w:t>"</w:t>
      </w:r>
      <w:r w:rsidRPr="0002155D">
        <w:rPr>
          <w:lang w:val="en-GB"/>
        </w:rPr>
        <w:t>product verification</w:t>
      </w:r>
      <w:r>
        <w:rPr>
          <w:lang w:val="en-GB"/>
        </w:rPr>
        <w:t>",</w:t>
      </w:r>
      <w:r w:rsidRPr="0002155D">
        <w:rPr>
          <w:lang w:val="en-GB"/>
        </w:rPr>
        <w:t xml:space="preserve"> for example, can have different internal dynamics depending on the needs of the company. If multiple reference model alternatives are presented by academia, the company only needs to insert the module with </w:t>
      </w:r>
      <w:r w:rsidRPr="0002155D">
        <w:rPr>
          <w:rStyle w:val="tagtrans"/>
          <w:lang w:val="en-GB"/>
        </w:rPr>
        <w:t>congruent premises</w:t>
      </w:r>
      <w:r w:rsidRPr="0002155D">
        <w:rPr>
          <w:lang w:val="en-GB"/>
        </w:rPr>
        <w:t>.</w:t>
      </w:r>
    </w:p>
    <w:p w14:paraId="62D90C8B" w14:textId="77777777" w:rsidR="00781BFA" w:rsidRPr="0002155D" w:rsidRDefault="00781BFA" w:rsidP="00781BFA">
      <w:pPr>
        <w:pStyle w:val="berschrift1"/>
        <w:keepLines/>
        <w:numPr>
          <w:ilvl w:val="0"/>
          <w:numId w:val="28"/>
        </w:numPr>
        <w:spacing w:before="240" w:after="0"/>
        <w:rPr>
          <w:lang w:val="en-GB"/>
        </w:rPr>
      </w:pPr>
      <w:r w:rsidRPr="0002155D">
        <w:rPr>
          <w:lang w:val="en-GB"/>
        </w:rPr>
        <w:t>Outlook</w:t>
      </w:r>
    </w:p>
    <w:p w14:paraId="3BC32B9B" w14:textId="2AE3EE6F" w:rsidR="00781BFA" w:rsidRPr="0002155D" w:rsidRDefault="00781BFA" w:rsidP="00781BFA">
      <w:pPr>
        <w:rPr>
          <w:lang w:val="en-GB"/>
        </w:rPr>
      </w:pPr>
      <w:r>
        <w:rPr>
          <w:lang w:val="en-GB"/>
        </w:rPr>
        <w:t>At</w:t>
      </w:r>
      <w:r w:rsidRPr="0002155D">
        <w:rPr>
          <w:lang w:val="en-GB"/>
        </w:rPr>
        <w:t xml:space="preserve"> </w:t>
      </w:r>
      <w:r>
        <w:rPr>
          <w:lang w:val="en-GB"/>
        </w:rPr>
        <w:t>f</w:t>
      </w:r>
      <w:r w:rsidRPr="0002155D">
        <w:rPr>
          <w:lang w:val="en-GB"/>
        </w:rPr>
        <w:t xml:space="preserve">irst sight, </w:t>
      </w:r>
      <w:r>
        <w:rPr>
          <w:lang w:val="en-GB"/>
        </w:rPr>
        <w:t>verifying</w:t>
      </w:r>
      <w:r w:rsidRPr="0002155D">
        <w:rPr>
          <w:lang w:val="en-GB"/>
        </w:rPr>
        <w:t xml:space="preserve"> intra-</w:t>
      </w:r>
      <w:r>
        <w:rPr>
          <w:lang w:val="en-GB"/>
        </w:rPr>
        <w:t>C</w:t>
      </w:r>
      <w:r w:rsidRPr="0002155D">
        <w:rPr>
          <w:lang w:val="en-GB"/>
        </w:rPr>
        <w:t>ommunity supplies constitutes a perfect candidate for automation: high volume throughput, standardised decision rules, extensive documentation requirements and millions of European enterprises as potential beneficiaries.</w:t>
      </w:r>
    </w:p>
    <w:p w14:paraId="2FB76133" w14:textId="4594E7E3" w:rsidR="00B157E2" w:rsidRPr="00F32F95" w:rsidRDefault="00781BFA" w:rsidP="00781BFA">
      <w:pPr>
        <w:rPr>
          <w:lang w:val="en-GB"/>
        </w:rPr>
      </w:pPr>
      <w:r w:rsidRPr="0002155D">
        <w:rPr>
          <w:lang w:val="en-GB"/>
        </w:rPr>
        <w:t>The difficulties arise in the assessment of each individual case. Although the general decision rules are specified only by a hand</w:t>
      </w:r>
      <w:r>
        <w:rPr>
          <w:lang w:val="en-GB"/>
        </w:rPr>
        <w:t>fu</w:t>
      </w:r>
      <w:r w:rsidRPr="0002155D">
        <w:rPr>
          <w:lang w:val="en-GB"/>
        </w:rPr>
        <w:t xml:space="preserve">l of norms, they are refined and detailed in a wide range of tax directives, implementation ordinances and regional court decisions. This requires the automation model to differentiate between a multitude of cases. In </w:t>
      </w:r>
      <w:r w:rsidR="004B0B55">
        <w:rPr>
          <w:lang w:val="en-GB"/>
        </w:rPr>
        <w:t>a</w:t>
      </w:r>
      <w:r w:rsidRPr="0002155D">
        <w:rPr>
          <w:lang w:val="en-GB"/>
        </w:rPr>
        <w:t xml:space="preserve">ddition, legal norms require </w:t>
      </w:r>
      <w:r w:rsidRPr="00F32F95">
        <w:rPr>
          <w:lang w:val="en-GB"/>
        </w:rPr>
        <w:t xml:space="preserve">a factual assessment </w:t>
      </w:r>
      <w:r w:rsidR="006F0CDA" w:rsidRPr="00F32F95">
        <w:rPr>
          <w:lang w:val="en-GB"/>
        </w:rPr>
        <w:t>which means a</w:t>
      </w:r>
      <w:r w:rsidR="0025224B" w:rsidRPr="00F32F95">
        <w:rPr>
          <w:lang w:val="en-GB"/>
        </w:rPr>
        <w:t xml:space="preserve"> legal</w:t>
      </w:r>
      <w:r w:rsidRPr="00F32F95">
        <w:rPr>
          <w:lang w:val="en-GB"/>
        </w:rPr>
        <w:t xml:space="preserve"> </w:t>
      </w:r>
      <w:r w:rsidR="0025224B" w:rsidRPr="00F32F95">
        <w:rPr>
          <w:lang w:val="en-GB"/>
        </w:rPr>
        <w:t xml:space="preserve">expert decides </w:t>
      </w:r>
      <w:r w:rsidR="001905BB" w:rsidRPr="00F32F95">
        <w:rPr>
          <w:lang w:val="en-GB"/>
        </w:rPr>
        <w:t>if</w:t>
      </w:r>
      <w:r w:rsidR="0025224B" w:rsidRPr="00F32F95">
        <w:rPr>
          <w:lang w:val="en-GB"/>
        </w:rPr>
        <w:t xml:space="preserve"> a rather open formulation is applicable in a complex situation. This requires context information and experience </w:t>
      </w:r>
      <w:r w:rsidRPr="00F32F95">
        <w:rPr>
          <w:lang w:val="en-GB"/>
        </w:rPr>
        <w:t xml:space="preserve">which </w:t>
      </w:r>
      <w:r w:rsidR="0025224B" w:rsidRPr="00F32F95">
        <w:rPr>
          <w:lang w:val="en-GB"/>
        </w:rPr>
        <w:t>are</w:t>
      </w:r>
      <w:r w:rsidRPr="00F32F95">
        <w:rPr>
          <w:lang w:val="en-GB"/>
        </w:rPr>
        <w:t xml:space="preserve"> hard to </w:t>
      </w:r>
      <w:r w:rsidR="0025224B" w:rsidRPr="00F32F95">
        <w:rPr>
          <w:lang w:val="en-GB"/>
        </w:rPr>
        <w:t>leverage in current</w:t>
      </w:r>
      <w:r w:rsidRPr="00F32F95">
        <w:rPr>
          <w:lang w:val="en-GB"/>
        </w:rPr>
        <w:t xml:space="preserve"> algorithmic </w:t>
      </w:r>
      <w:r w:rsidR="0025224B" w:rsidRPr="00F32F95">
        <w:rPr>
          <w:lang w:val="en-GB"/>
        </w:rPr>
        <w:t xml:space="preserve">implementations. </w:t>
      </w:r>
      <w:r w:rsidR="001905BB" w:rsidRPr="00F32F95">
        <w:rPr>
          <w:lang w:val="en-GB"/>
        </w:rPr>
        <w:t>A</w:t>
      </w:r>
      <w:r w:rsidR="0025224B" w:rsidRPr="00F32F95">
        <w:rPr>
          <w:lang w:val="en-GB"/>
        </w:rPr>
        <w:t xml:space="preserve">utomations </w:t>
      </w:r>
      <w:r w:rsidR="00C537FC" w:rsidRPr="00F32F95">
        <w:rPr>
          <w:lang w:val="en-GB"/>
        </w:rPr>
        <w:t xml:space="preserve">are at their best </w:t>
      </w:r>
      <w:r w:rsidR="0025224B" w:rsidRPr="00F32F95">
        <w:rPr>
          <w:lang w:val="en-GB"/>
        </w:rPr>
        <w:t>when an unambiguous measurand is constrained using a fixed domain of values</w:t>
      </w:r>
      <w:r w:rsidRPr="00F32F95">
        <w:rPr>
          <w:lang w:val="en-GB"/>
        </w:rPr>
        <w:t>.</w:t>
      </w:r>
      <w:r w:rsidR="000F26B5" w:rsidRPr="00F32F95">
        <w:rPr>
          <w:lang w:val="en-GB"/>
        </w:rPr>
        <w:t xml:space="preserve"> </w:t>
      </w:r>
      <w:r w:rsidR="00EA7BDA" w:rsidRPr="00F32F95">
        <w:rPr>
          <w:lang w:val="en-GB"/>
        </w:rPr>
        <w:t xml:space="preserve">Therefore, in our </w:t>
      </w:r>
      <w:r w:rsidR="00687120" w:rsidRPr="00F32F95">
        <w:rPr>
          <w:lang w:val="en-GB"/>
        </w:rPr>
        <w:t>opinion</w:t>
      </w:r>
      <w:r w:rsidR="00EA7BDA" w:rsidRPr="00F32F95">
        <w:rPr>
          <w:lang w:val="en-GB"/>
        </w:rPr>
        <w:t>, the task of auditors will predominantly be to define heuristics that map a</w:t>
      </w:r>
      <w:r w:rsidR="003A1895" w:rsidRPr="00F32F95">
        <w:rPr>
          <w:lang w:val="en-GB"/>
        </w:rPr>
        <w:t>n</w:t>
      </w:r>
      <w:r w:rsidR="00EA7BDA" w:rsidRPr="00F32F95">
        <w:rPr>
          <w:lang w:val="en-GB"/>
        </w:rPr>
        <w:t xml:space="preserve"> </w:t>
      </w:r>
      <w:r w:rsidR="00B12149" w:rsidRPr="00F32F95">
        <w:rPr>
          <w:lang w:val="en-GB"/>
        </w:rPr>
        <w:t xml:space="preserve">unambiguous </w:t>
      </w:r>
      <w:r w:rsidR="00EA7BDA" w:rsidRPr="00F32F95">
        <w:rPr>
          <w:lang w:val="en-GB"/>
        </w:rPr>
        <w:t>measurand to an acceptable range of values. These heuristics must be defined in such a way that their results are congruent with the auditors' common assessments in many circumstances.</w:t>
      </w:r>
    </w:p>
    <w:p w14:paraId="60D1B58E" w14:textId="7758F4D3" w:rsidR="000620AA" w:rsidRPr="00F32F95" w:rsidRDefault="000620AA" w:rsidP="00082022">
      <w:pPr>
        <w:rPr>
          <w:lang w:val="en-GB"/>
        </w:rPr>
      </w:pPr>
      <w:r w:rsidRPr="00F32F95">
        <w:rPr>
          <w:lang w:val="en-GB"/>
        </w:rPr>
        <w:lastRenderedPageBreak/>
        <w:t xml:space="preserve">The difficulties </w:t>
      </w:r>
      <w:r w:rsidR="00336388" w:rsidRPr="00F32F95">
        <w:rPr>
          <w:lang w:val="en-GB"/>
        </w:rPr>
        <w:t xml:space="preserve">in automating the entire workflow shown throughout this case study </w:t>
      </w:r>
      <w:r w:rsidR="00450E4D" w:rsidRPr="00F32F95">
        <w:rPr>
          <w:lang w:val="en-GB"/>
        </w:rPr>
        <w:t>support</w:t>
      </w:r>
      <w:r w:rsidR="00336388" w:rsidRPr="00F32F95">
        <w:rPr>
          <w:lang w:val="en-GB"/>
        </w:rPr>
        <w:t xml:space="preserve"> the </w:t>
      </w:r>
      <w:r w:rsidR="00450E4D" w:rsidRPr="00F32F95">
        <w:rPr>
          <w:lang w:val="en-GB"/>
        </w:rPr>
        <w:t>effectiveness</w:t>
      </w:r>
      <w:r w:rsidR="00336388" w:rsidRPr="00F32F95">
        <w:rPr>
          <w:lang w:val="en-GB"/>
        </w:rPr>
        <w:t xml:space="preserve"> </w:t>
      </w:r>
      <w:r w:rsidR="00656F72" w:rsidRPr="00F32F95">
        <w:rPr>
          <w:lang w:val="en-GB"/>
        </w:rPr>
        <w:t xml:space="preserve">of </w:t>
      </w:r>
      <w:r w:rsidR="00450E4D" w:rsidRPr="00F32F95">
        <w:rPr>
          <w:smallCaps/>
          <w:lang w:val="en-GB"/>
        </w:rPr>
        <w:t>Heraklit</w:t>
      </w:r>
      <w:r w:rsidR="00656F72" w:rsidRPr="00F32F95">
        <w:rPr>
          <w:lang w:val="en-GB"/>
        </w:rPr>
        <w:t xml:space="preserve"> as an intermediary modelling language between </w:t>
      </w:r>
      <w:r w:rsidR="0032155A" w:rsidRPr="00F32F95">
        <w:rPr>
          <w:lang w:val="en-GB"/>
        </w:rPr>
        <w:t xml:space="preserve">subject-matter experts </w:t>
      </w:r>
      <w:r w:rsidR="00656F72" w:rsidRPr="00F32F95">
        <w:rPr>
          <w:lang w:val="en-GB"/>
        </w:rPr>
        <w:t xml:space="preserve">and </w:t>
      </w:r>
      <w:r w:rsidR="00F96D8E" w:rsidRPr="00F32F95">
        <w:rPr>
          <w:lang w:val="en-GB"/>
        </w:rPr>
        <w:t xml:space="preserve">explicit implementations. By conceptualising </w:t>
      </w:r>
      <w:r w:rsidR="00314F05" w:rsidRPr="00F32F95">
        <w:rPr>
          <w:lang w:val="en-GB"/>
        </w:rPr>
        <w:t xml:space="preserve">the architecture, the statics, and the dynamics of an RPA solution, we uncovered </w:t>
      </w:r>
      <w:r w:rsidR="00932E55" w:rsidRPr="00F32F95">
        <w:rPr>
          <w:lang w:val="en-GB"/>
        </w:rPr>
        <w:t>unsolved questions</w:t>
      </w:r>
      <w:r w:rsidR="00B77BB3" w:rsidRPr="00F32F95">
        <w:rPr>
          <w:lang w:val="en-GB"/>
        </w:rPr>
        <w:t xml:space="preserve"> that need to be addressed prio</w:t>
      </w:r>
      <w:r w:rsidR="00932E55" w:rsidRPr="00F32F95">
        <w:rPr>
          <w:lang w:val="en-GB"/>
        </w:rPr>
        <w:t>r</w:t>
      </w:r>
      <w:r w:rsidR="00B77BB3" w:rsidRPr="00F32F95">
        <w:rPr>
          <w:lang w:val="en-GB"/>
        </w:rPr>
        <w:t xml:space="preserve"> to the execution phase</w:t>
      </w:r>
      <w:r w:rsidR="00932E55" w:rsidRPr="00F32F95">
        <w:rPr>
          <w:lang w:val="en-GB"/>
        </w:rPr>
        <w:t xml:space="preserve"> of an RPA project</w:t>
      </w:r>
      <w:r w:rsidR="00B77BB3" w:rsidRPr="00F32F95">
        <w:rPr>
          <w:lang w:val="en-GB"/>
        </w:rPr>
        <w:t>.</w:t>
      </w:r>
      <w:r w:rsidR="00AB1F2D" w:rsidRPr="00F32F95">
        <w:rPr>
          <w:lang w:val="en-GB"/>
        </w:rPr>
        <w:t xml:space="preserve"> Additional research could build upon this insight and examine further automation cases in public administrations.</w:t>
      </w:r>
    </w:p>
    <w:p w14:paraId="66E2CFDA" w14:textId="1FAB3499" w:rsidR="00781BFA" w:rsidRDefault="00781BFA" w:rsidP="00781BFA">
      <w:pPr>
        <w:rPr>
          <w:lang w:val="en-GB"/>
        </w:rPr>
      </w:pPr>
      <w:r w:rsidRPr="00F32F95">
        <w:rPr>
          <w:lang w:val="en-GB"/>
        </w:rPr>
        <w:t xml:space="preserve">In the next step, we plan to extend our model </w:t>
      </w:r>
      <w:r w:rsidR="00C168C9" w:rsidRPr="00F32F95">
        <w:rPr>
          <w:lang w:val="en-GB"/>
        </w:rPr>
        <w:t xml:space="preserve">to cover a wider range of cases </w:t>
      </w:r>
      <w:r w:rsidRPr="00F32F95">
        <w:rPr>
          <w:lang w:val="en-GB"/>
        </w:rPr>
        <w:t xml:space="preserve">and implement a prototype based on this reference model. The open research questions are whether the </w:t>
      </w:r>
      <w:r w:rsidRPr="0002155D">
        <w:rPr>
          <w:rFonts w:cs="Times New Roman"/>
          <w:smallCaps/>
          <w:lang w:val="en-GB"/>
        </w:rPr>
        <w:t>Heraklit</w:t>
      </w:r>
      <w:r w:rsidRPr="0002155D">
        <w:rPr>
          <w:lang w:val="en-GB"/>
        </w:rPr>
        <w:t xml:space="preserve"> model is expressive enough to create an RPA implementation based on it and if the distributed run serves as an enhanced and easily comprehensible execution log.</w:t>
      </w:r>
    </w:p>
    <w:p w14:paraId="1378B1D5" w14:textId="00958237" w:rsidR="00781BFA" w:rsidRPr="008F559C" w:rsidRDefault="00781BFA" w:rsidP="00781BFA">
      <w:pPr>
        <w:pStyle w:val="berschrift1"/>
        <w:ind w:left="432" w:hanging="432"/>
        <w:rPr>
          <w:b w:val="0"/>
          <w:bCs w:val="0"/>
          <w:lang w:val="en-GB"/>
        </w:rPr>
      </w:pPr>
      <w:r w:rsidRPr="60697B14">
        <w:rPr>
          <w:lang w:val="en-GB"/>
        </w:rPr>
        <w:t>References</w:t>
      </w:r>
    </w:p>
    <w:p w14:paraId="71FC8C73" w14:textId="77777777" w:rsidR="00566D48" w:rsidRPr="00566D48" w:rsidRDefault="00781BFA" w:rsidP="00566D48">
      <w:pPr>
        <w:pStyle w:val="Literaturverzeichnis"/>
        <w:ind w:left="720" w:hanging="720"/>
        <w:rPr>
          <w:noProof/>
          <w:sz w:val="24"/>
          <w:szCs w:val="24"/>
          <w:lang w:val="en-GB"/>
        </w:rPr>
      </w:pPr>
      <w:r w:rsidRPr="0002155D">
        <w:rPr>
          <w:lang w:val="en-GB"/>
        </w:rPr>
        <w:fldChar w:fldCharType="begin"/>
      </w:r>
      <w:r w:rsidRPr="0002155D">
        <w:rPr>
          <w:lang w:val="en-GB"/>
        </w:rPr>
        <w:instrText xml:space="preserve"> BIBLIOGRAPHY  \l 1031 </w:instrText>
      </w:r>
      <w:r w:rsidRPr="0002155D">
        <w:rPr>
          <w:lang w:val="en-GB"/>
        </w:rPr>
        <w:fldChar w:fldCharType="separate"/>
      </w:r>
      <w:r w:rsidR="00566D48" w:rsidRPr="00566D48">
        <w:rPr>
          <w:noProof/>
          <w:lang w:val="en-GB"/>
        </w:rPr>
        <w:t xml:space="preserve">Aguirre, S., &amp; Rodriguez, A. (2017). Automation of a business process using robotic process automation (RPA): A case study. </w:t>
      </w:r>
      <w:r w:rsidR="00566D48" w:rsidRPr="00566D48">
        <w:rPr>
          <w:i/>
          <w:iCs/>
          <w:noProof/>
          <w:lang w:val="en-GB"/>
        </w:rPr>
        <w:t>Workshop on engineering applications</w:t>
      </w:r>
      <w:r w:rsidR="00566D48" w:rsidRPr="00566D48">
        <w:rPr>
          <w:noProof/>
          <w:lang w:val="en-GB"/>
        </w:rPr>
        <w:t xml:space="preserve"> (S. 65-71). Springer.</w:t>
      </w:r>
    </w:p>
    <w:p w14:paraId="00A51DD4" w14:textId="77777777" w:rsidR="00566D48" w:rsidRPr="00566D48" w:rsidRDefault="00566D48" w:rsidP="00566D48">
      <w:pPr>
        <w:pStyle w:val="Literaturverzeichnis"/>
        <w:ind w:left="720" w:hanging="720"/>
        <w:rPr>
          <w:noProof/>
          <w:lang w:val="en-GB"/>
        </w:rPr>
      </w:pPr>
      <w:r w:rsidRPr="00566D48">
        <w:rPr>
          <w:noProof/>
          <w:lang w:val="en-GB"/>
        </w:rPr>
        <w:t xml:space="preserve">Amand, C. (2016). The Impossible Proof of Intra-Community Supplies of Goods. </w:t>
      </w:r>
      <w:r w:rsidRPr="00566D48">
        <w:rPr>
          <w:i/>
          <w:iCs/>
          <w:noProof/>
          <w:lang w:val="en-GB"/>
        </w:rPr>
        <w:t>International VAT Monitor</w:t>
      </w:r>
      <w:r w:rsidRPr="00566D48">
        <w:rPr>
          <w:noProof/>
          <w:lang w:val="en-GB"/>
        </w:rPr>
        <w:t>, S. 98.</w:t>
      </w:r>
    </w:p>
    <w:p w14:paraId="5975FFD7" w14:textId="77777777" w:rsidR="00566D48" w:rsidRPr="00566D48" w:rsidRDefault="00566D48" w:rsidP="00566D48">
      <w:pPr>
        <w:pStyle w:val="Literaturverzeichnis"/>
        <w:ind w:left="720" w:hanging="720"/>
        <w:rPr>
          <w:noProof/>
          <w:lang w:val="en-GB"/>
        </w:rPr>
      </w:pPr>
      <w:r w:rsidRPr="00566D48">
        <w:rPr>
          <w:noProof/>
          <w:lang w:val="en-GB"/>
        </w:rPr>
        <w:t xml:space="preserve">Bal, A. (15. April 2019). Indirect Tax Compliance: Process Automation or Process Transformation? </w:t>
      </w:r>
      <w:r w:rsidRPr="00566D48">
        <w:rPr>
          <w:i/>
          <w:iCs/>
          <w:noProof/>
          <w:lang w:val="en-GB"/>
        </w:rPr>
        <w:t>Tax notes international</w:t>
      </w:r>
      <w:r w:rsidRPr="00566D48">
        <w:rPr>
          <w:noProof/>
          <w:lang w:val="en-GB"/>
        </w:rPr>
        <w:t>, S. 255-258.</w:t>
      </w:r>
    </w:p>
    <w:p w14:paraId="1EE4D34B" w14:textId="77777777" w:rsidR="00566D48" w:rsidRPr="00566D48" w:rsidRDefault="00566D48" w:rsidP="00566D48">
      <w:pPr>
        <w:pStyle w:val="Literaturverzeichnis"/>
        <w:ind w:left="720" w:hanging="720"/>
        <w:rPr>
          <w:noProof/>
          <w:lang w:val="en-GB"/>
        </w:rPr>
      </w:pPr>
      <w:r w:rsidRPr="00566D48">
        <w:rPr>
          <w:noProof/>
          <w:lang w:val="en-GB"/>
        </w:rPr>
        <w:t xml:space="preserve">Cooper, L. A., Holderness, D., Sorensen, T. L., &amp; Wood, D. A. (2019). Robotic Process Automation in Public Accounting. </w:t>
      </w:r>
      <w:r w:rsidRPr="00566D48">
        <w:rPr>
          <w:i/>
          <w:iCs/>
          <w:noProof/>
          <w:lang w:val="en-GB"/>
        </w:rPr>
        <w:t>Accounting Horizons</w:t>
      </w:r>
      <w:r w:rsidRPr="00566D48">
        <w:rPr>
          <w:noProof/>
          <w:lang w:val="en-GB"/>
        </w:rPr>
        <w:t>, S. 15-35.</w:t>
      </w:r>
    </w:p>
    <w:p w14:paraId="4B8AB0AC" w14:textId="77777777" w:rsidR="00566D48" w:rsidRDefault="00566D48" w:rsidP="00566D48">
      <w:pPr>
        <w:pStyle w:val="Literaturverzeichnis"/>
        <w:ind w:left="720" w:hanging="720"/>
        <w:rPr>
          <w:noProof/>
        </w:rPr>
      </w:pPr>
      <w:r w:rsidRPr="00566D48">
        <w:rPr>
          <w:noProof/>
          <w:lang w:val="en-GB"/>
        </w:rPr>
        <w:t xml:space="preserve">Czarnecki, C., &amp; Fettke, P. (2021). Robotic Process Automation. Positioning, Structuring, and Framing the Work. In C. Czarnecki, &amp; P. Fettke, </w:t>
      </w:r>
      <w:r w:rsidRPr="00566D48">
        <w:rPr>
          <w:i/>
          <w:iCs/>
          <w:noProof/>
          <w:lang w:val="en-GB"/>
        </w:rPr>
        <w:t>Robotic Process Automation. Management, Technology, Applications</w:t>
      </w:r>
      <w:r w:rsidRPr="00566D48">
        <w:rPr>
          <w:noProof/>
          <w:lang w:val="en-GB"/>
        </w:rPr>
        <w:t xml:space="preserve"> (S. 3-24). </w:t>
      </w:r>
      <w:r>
        <w:rPr>
          <w:noProof/>
        </w:rPr>
        <w:t>De Gruyter.</w:t>
      </w:r>
    </w:p>
    <w:p w14:paraId="22A89AD1" w14:textId="77777777" w:rsidR="00566D48" w:rsidRPr="00566D48" w:rsidRDefault="00566D48" w:rsidP="00566D48">
      <w:pPr>
        <w:pStyle w:val="Literaturverzeichnis"/>
        <w:ind w:left="720" w:hanging="720"/>
        <w:rPr>
          <w:noProof/>
          <w:lang w:val="en-GB"/>
        </w:rPr>
      </w:pPr>
      <w:r>
        <w:rPr>
          <w:noProof/>
        </w:rPr>
        <w:t xml:space="preserve">Dietsch, D. R. (2018). Umsatzsteuer 4.0 - wie Blockchain grenzüberschreitende Reihengeschäfte transparenter machen könnte. </w:t>
      </w:r>
      <w:r w:rsidRPr="00566D48">
        <w:rPr>
          <w:i/>
          <w:iCs/>
          <w:noProof/>
          <w:lang w:val="en-GB"/>
        </w:rPr>
        <w:t>MwStR</w:t>
      </w:r>
      <w:r w:rsidRPr="00566D48">
        <w:rPr>
          <w:noProof/>
          <w:lang w:val="en-GB"/>
        </w:rPr>
        <w:t>, S. 813.</w:t>
      </w:r>
    </w:p>
    <w:p w14:paraId="3947FFB8" w14:textId="77777777" w:rsidR="00566D48" w:rsidRDefault="00566D48" w:rsidP="00566D48">
      <w:pPr>
        <w:pStyle w:val="Literaturverzeichnis"/>
        <w:ind w:left="720" w:hanging="720"/>
        <w:rPr>
          <w:noProof/>
        </w:rPr>
      </w:pPr>
      <w:r w:rsidRPr="00566D48">
        <w:rPr>
          <w:noProof/>
          <w:lang w:val="en-GB"/>
        </w:rPr>
        <w:t xml:space="preserve">EU-commission. (2017). </w:t>
      </w:r>
      <w:r w:rsidRPr="00566D48">
        <w:rPr>
          <w:i/>
          <w:iCs/>
          <w:noProof/>
          <w:lang w:val="en-GB"/>
        </w:rPr>
        <w:t xml:space="preserve">, Towards a single EU VAT area - Time to act. Amended proposal for a Council Regulation amending Regulation </w:t>
      </w:r>
      <w:r w:rsidRPr="00566D48">
        <w:rPr>
          <w:i/>
          <w:iCs/>
          <w:noProof/>
          <w:lang w:val="en-GB"/>
        </w:rPr>
        <w:lastRenderedPageBreak/>
        <w:t>(EU) No 904/2010 as regards measures to strengthen administrative cooperation in the field of value added tax, COM 2017 706 final.</w:t>
      </w:r>
      <w:r w:rsidRPr="00566D48">
        <w:rPr>
          <w:noProof/>
          <w:lang w:val="en-GB"/>
        </w:rPr>
        <w:t xml:space="preserve"> </w:t>
      </w:r>
      <w:r>
        <w:rPr>
          <w:noProof/>
        </w:rPr>
        <w:t>Brussels.</w:t>
      </w:r>
    </w:p>
    <w:p w14:paraId="1A2A0DBD" w14:textId="77777777" w:rsidR="00566D48" w:rsidRDefault="00566D48" w:rsidP="00566D48">
      <w:pPr>
        <w:pStyle w:val="Literaturverzeichnis"/>
        <w:ind w:left="720" w:hanging="720"/>
        <w:rPr>
          <w:noProof/>
        </w:rPr>
      </w:pPr>
      <w:r>
        <w:rPr>
          <w:noProof/>
        </w:rPr>
        <w:t xml:space="preserve">Fettke, P., &amp; Reisig, W. (2020). </w:t>
      </w:r>
      <w:r>
        <w:rPr>
          <w:i/>
          <w:iCs/>
          <w:noProof/>
        </w:rPr>
        <w:t>Heraklit – die erkenntnistheoretisch motivierte Modellierung rechnerintegrierter Systeme.</w:t>
      </w:r>
      <w:r>
        <w:rPr>
          <w:noProof/>
        </w:rPr>
        <w:t xml:space="preserve"> </w:t>
      </w:r>
    </w:p>
    <w:p w14:paraId="5A5DC19B" w14:textId="77777777" w:rsidR="00566D48" w:rsidRDefault="00566D48" w:rsidP="00566D48">
      <w:pPr>
        <w:pStyle w:val="Literaturverzeichnis"/>
        <w:ind w:left="720" w:hanging="720"/>
        <w:rPr>
          <w:noProof/>
        </w:rPr>
      </w:pPr>
      <w:r w:rsidRPr="00566D48">
        <w:rPr>
          <w:noProof/>
          <w:lang w:val="en-GB"/>
        </w:rPr>
        <w:t xml:space="preserve">Fettke, P., &amp; Risse, R. (27. July 2018). </w:t>
      </w:r>
      <w:r>
        <w:rPr>
          <w:noProof/>
        </w:rPr>
        <w:t xml:space="preserve">Blockchain: Wird eine sog. "real time" Tax Compliance möglich? </w:t>
      </w:r>
      <w:r>
        <w:rPr>
          <w:i/>
          <w:iCs/>
          <w:noProof/>
        </w:rPr>
        <w:t>Der Betrieb</w:t>
      </w:r>
      <w:r>
        <w:rPr>
          <w:noProof/>
        </w:rPr>
        <w:t>, S. 1748-1755.</w:t>
      </w:r>
    </w:p>
    <w:p w14:paraId="59D94F1E" w14:textId="77777777" w:rsidR="00566D48" w:rsidRDefault="00566D48" w:rsidP="00566D48">
      <w:pPr>
        <w:pStyle w:val="Literaturverzeichnis"/>
        <w:ind w:left="720" w:hanging="720"/>
        <w:rPr>
          <w:noProof/>
        </w:rPr>
      </w:pPr>
      <w:r w:rsidRPr="00566D48">
        <w:rPr>
          <w:noProof/>
          <w:lang w:val="en-GB"/>
        </w:rPr>
        <w:t xml:space="preserve">Houy, C., Hamberg, M., &amp; Fettke, P. (2019). Robotic Process Automation in Public Administrations. </w:t>
      </w:r>
      <w:r>
        <w:rPr>
          <w:i/>
          <w:iCs/>
          <w:noProof/>
        </w:rPr>
        <w:t>Digitalisierung von Staat und Verwaltung. Fachtagung Verwaltungsinformatik (FTVI) und Fachtagung Rechtsinformatik (FTRI)</w:t>
      </w:r>
      <w:r>
        <w:rPr>
          <w:noProof/>
        </w:rPr>
        <w:t xml:space="preserve"> (S. 62-74). Münster: Gesellschaft für Informatik (GI).</w:t>
      </w:r>
    </w:p>
    <w:p w14:paraId="00BD1CC0" w14:textId="77777777" w:rsidR="00566D48" w:rsidRDefault="00566D48" w:rsidP="00566D48">
      <w:pPr>
        <w:pStyle w:val="Literaturverzeichnis"/>
        <w:ind w:left="720" w:hanging="720"/>
        <w:rPr>
          <w:noProof/>
        </w:rPr>
      </w:pPr>
      <w:r>
        <w:rPr>
          <w:noProof/>
        </w:rPr>
        <w:t xml:space="preserve">Ismer, &amp; Schwarz. (2019). Combating VAT Fraud through Digital Technologies: A Reform Proposal. </w:t>
      </w:r>
      <w:r>
        <w:rPr>
          <w:i/>
          <w:iCs/>
          <w:noProof/>
        </w:rPr>
        <w:t>IVM</w:t>
      </w:r>
      <w:r>
        <w:rPr>
          <w:noProof/>
        </w:rPr>
        <w:t>, S. 240.</w:t>
      </w:r>
    </w:p>
    <w:p w14:paraId="7204A5F9" w14:textId="77777777" w:rsidR="00566D48" w:rsidRDefault="00566D48" w:rsidP="00566D48">
      <w:pPr>
        <w:pStyle w:val="Literaturverzeichnis"/>
        <w:ind w:left="720" w:hanging="720"/>
        <w:rPr>
          <w:noProof/>
        </w:rPr>
      </w:pPr>
      <w:r>
        <w:rPr>
          <w:noProof/>
        </w:rPr>
        <w:t xml:space="preserve">Langhein, N. (2017). </w:t>
      </w:r>
      <w:r>
        <w:rPr>
          <w:i/>
          <w:iCs/>
          <w:noProof/>
        </w:rPr>
        <w:t>Umsatzsteuer und Steuerplanung.</w:t>
      </w:r>
      <w:r>
        <w:rPr>
          <w:noProof/>
        </w:rPr>
        <w:t xml:space="preserve"> Wiesbaden: Springer Fachmedien.</w:t>
      </w:r>
    </w:p>
    <w:p w14:paraId="37603273" w14:textId="77777777" w:rsidR="00566D48" w:rsidRPr="00566D48" w:rsidRDefault="00566D48" w:rsidP="00566D48">
      <w:pPr>
        <w:pStyle w:val="Literaturverzeichnis"/>
        <w:ind w:left="720" w:hanging="720"/>
        <w:rPr>
          <w:noProof/>
          <w:lang w:val="en-GB"/>
        </w:rPr>
      </w:pPr>
      <w:r w:rsidRPr="00566D48">
        <w:rPr>
          <w:noProof/>
          <w:lang w:val="en-GB"/>
        </w:rPr>
        <w:t xml:space="preserve">Mendling, J., &amp; Michael, H. (2008). From WS‐CDL choreography to BPEL process orchestration. </w:t>
      </w:r>
      <w:r w:rsidRPr="00566D48">
        <w:rPr>
          <w:i/>
          <w:iCs/>
          <w:noProof/>
          <w:lang w:val="en-GB"/>
        </w:rPr>
        <w:t>Journal of Enterprise Information Management</w:t>
      </w:r>
      <w:r w:rsidRPr="00566D48">
        <w:rPr>
          <w:noProof/>
          <w:lang w:val="en-GB"/>
        </w:rPr>
        <w:t>.</w:t>
      </w:r>
    </w:p>
    <w:p w14:paraId="007C47DD" w14:textId="77777777" w:rsidR="00566D48" w:rsidRPr="00566D48" w:rsidRDefault="00566D48" w:rsidP="00566D48">
      <w:pPr>
        <w:pStyle w:val="Literaturverzeichnis"/>
        <w:ind w:left="720" w:hanging="720"/>
        <w:rPr>
          <w:noProof/>
          <w:lang w:val="en-GB"/>
        </w:rPr>
      </w:pPr>
      <w:r w:rsidRPr="00566D48">
        <w:rPr>
          <w:noProof/>
          <w:lang w:val="en-GB"/>
        </w:rPr>
        <w:t xml:space="preserve">Mezzio, S., Stein, R., &amp; Stein, S. (2019). Robotic process automation for tax. </w:t>
      </w:r>
      <w:r w:rsidRPr="00566D48">
        <w:rPr>
          <w:i/>
          <w:iCs/>
          <w:noProof/>
          <w:lang w:val="en-GB"/>
        </w:rPr>
        <w:t>Journal of Accountancy</w:t>
      </w:r>
      <w:r w:rsidRPr="00566D48">
        <w:rPr>
          <w:noProof/>
          <w:lang w:val="en-GB"/>
        </w:rPr>
        <w:t>, S. 61-63.</w:t>
      </w:r>
    </w:p>
    <w:p w14:paraId="3ADD93D8" w14:textId="77777777" w:rsidR="00566D48" w:rsidRPr="00566D48" w:rsidRDefault="00566D48" w:rsidP="00566D48">
      <w:pPr>
        <w:pStyle w:val="Literaturverzeichnis"/>
        <w:ind w:left="720" w:hanging="720"/>
        <w:rPr>
          <w:noProof/>
          <w:lang w:val="en-GB"/>
        </w:rPr>
      </w:pPr>
      <w:r w:rsidRPr="00566D48">
        <w:rPr>
          <w:noProof/>
          <w:lang w:val="en-GB"/>
        </w:rPr>
        <w:t xml:space="preserve">Reisig, W. (2013). </w:t>
      </w:r>
      <w:r w:rsidRPr="00566D48">
        <w:rPr>
          <w:i/>
          <w:iCs/>
          <w:noProof/>
          <w:lang w:val="en-GB"/>
        </w:rPr>
        <w:t>Petri Nets. Modeling Techniques, Analysis Methods, Case Studies.</w:t>
      </w:r>
      <w:r w:rsidRPr="00566D48">
        <w:rPr>
          <w:noProof/>
          <w:lang w:val="en-GB"/>
        </w:rPr>
        <w:t xml:space="preserve"> Berlin Heidelberg: Springer.</w:t>
      </w:r>
    </w:p>
    <w:p w14:paraId="617DA5E7" w14:textId="77777777" w:rsidR="00566D48" w:rsidRPr="00566D48" w:rsidRDefault="00566D48" w:rsidP="00566D48">
      <w:pPr>
        <w:pStyle w:val="Literaturverzeichnis"/>
        <w:ind w:left="720" w:hanging="720"/>
        <w:rPr>
          <w:noProof/>
          <w:lang w:val="en-GB"/>
        </w:rPr>
      </w:pPr>
      <w:r w:rsidRPr="00566D48">
        <w:rPr>
          <w:noProof/>
          <w:lang w:val="en-GB"/>
        </w:rPr>
        <w:t xml:space="preserve">Romao, M., Costa, J., &amp; Costa, C. J. (2019). Robotic process automation: A case study in the banking industry. </w:t>
      </w:r>
      <w:r w:rsidRPr="00566D48">
        <w:rPr>
          <w:i/>
          <w:iCs/>
          <w:noProof/>
          <w:lang w:val="en-GB"/>
        </w:rPr>
        <w:t>2019 14th Iberian Conference on information systems and technologies (CISTI)</w:t>
      </w:r>
      <w:r w:rsidRPr="00566D48">
        <w:rPr>
          <w:noProof/>
          <w:lang w:val="en-GB"/>
        </w:rPr>
        <w:t xml:space="preserve"> (S. 1-6). IEEE.</w:t>
      </w:r>
    </w:p>
    <w:p w14:paraId="2C526B75" w14:textId="77777777" w:rsidR="00566D48" w:rsidRPr="00566D48" w:rsidRDefault="00566D48" w:rsidP="00566D48">
      <w:pPr>
        <w:pStyle w:val="Literaturverzeichnis"/>
        <w:ind w:left="720" w:hanging="720"/>
        <w:rPr>
          <w:noProof/>
          <w:lang w:val="en-GB"/>
        </w:rPr>
      </w:pPr>
      <w:r w:rsidRPr="00566D48">
        <w:rPr>
          <w:noProof/>
          <w:lang w:val="en-GB"/>
        </w:rPr>
        <w:t xml:space="preserve">Sala, M. (2020). A road map for tax function automation. </w:t>
      </w:r>
      <w:r w:rsidRPr="00566D48">
        <w:rPr>
          <w:i/>
          <w:iCs/>
          <w:noProof/>
          <w:lang w:val="en-GB"/>
        </w:rPr>
        <w:t>Tax Adviser</w:t>
      </w:r>
      <w:r w:rsidRPr="00566D48">
        <w:rPr>
          <w:noProof/>
          <w:lang w:val="en-GB"/>
        </w:rPr>
        <w:t>, S. 1-6.</w:t>
      </w:r>
    </w:p>
    <w:p w14:paraId="70F1277D" w14:textId="77777777" w:rsidR="00566D48" w:rsidRDefault="00566D48" w:rsidP="00566D48">
      <w:pPr>
        <w:pStyle w:val="Literaturverzeichnis"/>
        <w:ind w:left="720" w:hanging="720"/>
        <w:rPr>
          <w:noProof/>
        </w:rPr>
      </w:pPr>
      <w:r w:rsidRPr="00566D48">
        <w:rPr>
          <w:noProof/>
          <w:lang w:val="en-GB"/>
        </w:rPr>
        <w:t xml:space="preserve">van der Aalst, W. M. (2021). Process Mining and RPA. In C. Czarnecki, &amp; P. Fettke, </w:t>
      </w:r>
      <w:r w:rsidRPr="00566D48">
        <w:rPr>
          <w:i/>
          <w:iCs/>
          <w:noProof/>
          <w:lang w:val="en-GB"/>
        </w:rPr>
        <w:t>Robotic Process Automation - Management, Technology, Applications</w:t>
      </w:r>
      <w:r w:rsidRPr="00566D48">
        <w:rPr>
          <w:noProof/>
          <w:lang w:val="en-GB"/>
        </w:rPr>
        <w:t xml:space="preserve"> (S. 223-239). </w:t>
      </w:r>
      <w:r>
        <w:rPr>
          <w:noProof/>
        </w:rPr>
        <w:t>Berlin: De Gruyter.</w:t>
      </w:r>
    </w:p>
    <w:p w14:paraId="6E84EB41" w14:textId="77777777" w:rsidR="00566D48" w:rsidRPr="00566D48" w:rsidRDefault="00566D48" w:rsidP="00566D48">
      <w:pPr>
        <w:pStyle w:val="Literaturverzeichnis"/>
        <w:ind w:left="720" w:hanging="720"/>
        <w:rPr>
          <w:noProof/>
          <w:lang w:val="en-GB"/>
        </w:rPr>
      </w:pPr>
      <w:r>
        <w:rPr>
          <w:noProof/>
        </w:rPr>
        <w:lastRenderedPageBreak/>
        <w:t xml:space="preserve">van der Aalst, W., Bichler, M., &amp; Heinzl, A. (2018). </w:t>
      </w:r>
      <w:r w:rsidRPr="00566D48">
        <w:rPr>
          <w:noProof/>
          <w:lang w:val="en-GB"/>
        </w:rPr>
        <w:t xml:space="preserve">Robotic Process Automation. </w:t>
      </w:r>
      <w:r w:rsidRPr="00566D48">
        <w:rPr>
          <w:i/>
          <w:iCs/>
          <w:noProof/>
          <w:lang w:val="en-GB"/>
        </w:rPr>
        <w:t>Business &amp; Information Systems Engineering</w:t>
      </w:r>
      <w:r w:rsidRPr="00566D48">
        <w:rPr>
          <w:noProof/>
          <w:lang w:val="en-GB"/>
        </w:rPr>
        <w:t>, S. 269-272.</w:t>
      </w:r>
    </w:p>
    <w:p w14:paraId="7C421EC3" w14:textId="77777777" w:rsidR="00566D48" w:rsidRDefault="00566D48" w:rsidP="00566D48">
      <w:pPr>
        <w:pStyle w:val="Literaturverzeichnis"/>
        <w:ind w:left="720" w:hanging="720"/>
        <w:rPr>
          <w:noProof/>
        </w:rPr>
      </w:pPr>
      <w:r w:rsidRPr="00566D48">
        <w:rPr>
          <w:noProof/>
          <w:lang w:val="en-GB"/>
        </w:rPr>
        <w:t xml:space="preserve">van Vliet, H. (2008). </w:t>
      </w:r>
      <w:r w:rsidRPr="00566D48">
        <w:rPr>
          <w:i/>
          <w:iCs/>
          <w:noProof/>
          <w:lang w:val="en-GB"/>
        </w:rPr>
        <w:t>Software Engineering: Principles and Practice.</w:t>
      </w:r>
      <w:r w:rsidRPr="00566D48">
        <w:rPr>
          <w:noProof/>
          <w:lang w:val="en-GB"/>
        </w:rPr>
        <w:t xml:space="preserve"> </w:t>
      </w:r>
      <w:r>
        <w:rPr>
          <w:noProof/>
        </w:rPr>
        <w:t>Hoboken: Wiley &amp; Sons.</w:t>
      </w:r>
    </w:p>
    <w:p w14:paraId="4BAE1FD2" w14:textId="5C2A1EF3" w:rsidR="00B97ED3" w:rsidRPr="00B97ED3" w:rsidRDefault="00781BFA" w:rsidP="00566D48">
      <w:r w:rsidRPr="0002155D">
        <w:rPr>
          <w:lang w:val="en-GB"/>
        </w:rPr>
        <w:fldChar w:fldCharType="end"/>
      </w:r>
    </w:p>
    <w:sectPr w:rsidR="00B97ED3" w:rsidRPr="00B97ED3">
      <w:headerReference w:type="even" r:id="rId35"/>
      <w:headerReference w:type="default" r:id="rId36"/>
      <w:footerReference w:type="default" r:id="rId37"/>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CC06F" w14:textId="77777777" w:rsidR="009D2E4D" w:rsidRDefault="009D2E4D">
      <w:r>
        <w:separator/>
      </w:r>
    </w:p>
  </w:endnote>
  <w:endnote w:type="continuationSeparator" w:id="0">
    <w:p w14:paraId="0C606B93" w14:textId="77777777" w:rsidR="009D2E4D" w:rsidRDefault="009D2E4D">
      <w:r>
        <w:continuationSeparator/>
      </w:r>
    </w:p>
  </w:endnote>
  <w:endnote w:type="continuationNotice" w:id="1">
    <w:p w14:paraId="5D935672" w14:textId="77777777" w:rsidR="009D2E4D" w:rsidRDefault="009D2E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E8FDF" w14:textId="77777777" w:rsidR="00DF7AAF" w:rsidRDefault="00DF7AA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41AC4" w14:textId="77777777" w:rsidR="009D2E4D" w:rsidRDefault="009D2E4D">
      <w:pPr>
        <w:pStyle w:val="p1a"/>
      </w:pPr>
      <w:r>
        <w:separator/>
      </w:r>
    </w:p>
  </w:footnote>
  <w:footnote w:type="continuationSeparator" w:id="0">
    <w:p w14:paraId="0440CB70" w14:textId="77777777" w:rsidR="009D2E4D" w:rsidRDefault="009D2E4D">
      <w:r>
        <w:continuationSeparator/>
      </w:r>
    </w:p>
  </w:footnote>
  <w:footnote w:type="continuationNotice" w:id="1">
    <w:p w14:paraId="75E15815" w14:textId="77777777" w:rsidR="009D2E4D" w:rsidRDefault="009D2E4D">
      <w:pPr>
        <w:spacing w:after="0" w:line="240" w:lineRule="auto"/>
      </w:pPr>
    </w:p>
  </w:footnote>
  <w:footnote w:id="2">
    <w:p w14:paraId="168AF1F3" w14:textId="16A0CCF0" w:rsidR="00240499" w:rsidRPr="00240499" w:rsidRDefault="00240499">
      <w:pPr>
        <w:pStyle w:val="Funotentext"/>
        <w:rPr>
          <w:lang w:val="en-GB"/>
        </w:rPr>
      </w:pPr>
      <w:r>
        <w:rPr>
          <w:rStyle w:val="Funotenzeichen"/>
        </w:rPr>
        <w:footnoteRef/>
      </w:r>
      <w:r w:rsidRPr="00240499">
        <w:rPr>
          <w:lang w:val="en-GB"/>
        </w:rPr>
        <w:t xml:space="preserve"> </w:t>
      </w:r>
      <w:r>
        <w:rPr>
          <w:lang w:val="en-GB"/>
        </w:rPr>
        <w:t xml:space="preserve">For additional details, we refer to </w:t>
      </w:r>
      <w:r w:rsidR="002A37D8" w:rsidRPr="002A37D8">
        <w:rPr>
          <w:lang w:val="en-GB"/>
        </w:rPr>
        <w:t>http://www.heraklit.org/</w:t>
      </w:r>
    </w:p>
  </w:footnote>
  <w:footnote w:id="3">
    <w:p w14:paraId="3EE28129" w14:textId="77777777" w:rsidR="00781BFA" w:rsidRPr="0002155D" w:rsidRDefault="00781BFA" w:rsidP="00781BFA">
      <w:pPr>
        <w:pStyle w:val="Funotentext"/>
        <w:rPr>
          <w:lang w:val="en-GB"/>
        </w:rPr>
      </w:pPr>
      <w:r>
        <w:rPr>
          <w:rStyle w:val="Funotenzeichen"/>
        </w:rPr>
        <w:footnoteRef/>
      </w:r>
      <w:r w:rsidRPr="0002155D">
        <w:rPr>
          <w:lang w:val="en-GB"/>
        </w:rPr>
        <w:t xml:space="preserve"> Council Directive 2006/112/EC of 28 November 2006 on the common system of value added tax, OJ L 347/1.</w:t>
      </w:r>
    </w:p>
  </w:footnote>
  <w:footnote w:id="4">
    <w:p w14:paraId="1281EAB9" w14:textId="77777777" w:rsidR="00781BFA" w:rsidRPr="0002155D" w:rsidRDefault="00781BFA" w:rsidP="00781BFA">
      <w:pPr>
        <w:pStyle w:val="Funotentext"/>
        <w:rPr>
          <w:lang w:val="en-GB"/>
        </w:rPr>
      </w:pPr>
      <w:r>
        <w:rPr>
          <w:rStyle w:val="Funotenzeichen"/>
        </w:rPr>
        <w:footnoteRef/>
      </w:r>
      <w:r w:rsidRPr="0002155D">
        <w:rPr>
          <w:lang w:val="en-GB"/>
        </w:rPr>
        <w:t xml:space="preserve"> </w:t>
      </w:r>
      <w:r>
        <w:rPr>
          <w:lang w:val="en-GB"/>
        </w:rPr>
        <w:t>In this section, we will use the term intra community supplies for acquisitions as well as deliveries.</w:t>
      </w:r>
    </w:p>
  </w:footnote>
  <w:footnote w:id="5">
    <w:p w14:paraId="1D16731B" w14:textId="77777777" w:rsidR="00781BFA" w:rsidRPr="0002155D" w:rsidRDefault="00781BFA" w:rsidP="00781BFA">
      <w:pPr>
        <w:pStyle w:val="Funotentext"/>
        <w:rPr>
          <w:lang w:val="en-GB"/>
        </w:rPr>
      </w:pPr>
      <w:r>
        <w:rPr>
          <w:rStyle w:val="Funotenzeichen"/>
        </w:rPr>
        <w:footnoteRef/>
      </w:r>
      <w:r w:rsidRPr="00E96F4C">
        <w:rPr>
          <w:lang w:val="en-GB"/>
        </w:rPr>
        <w:t>Art</w:t>
      </w:r>
      <w:r>
        <w:rPr>
          <w:lang w:val="en-GB"/>
        </w:rPr>
        <w:t>.</w:t>
      </w:r>
      <w:r w:rsidRPr="00E96F4C">
        <w:rPr>
          <w:lang w:val="en-GB"/>
        </w:rPr>
        <w:t xml:space="preserve"> 43 </w:t>
      </w:r>
      <w:r>
        <w:rPr>
          <w:lang w:val="en-GB"/>
        </w:rPr>
        <w:t>Para.</w:t>
      </w:r>
      <w:r w:rsidRPr="00E96F4C">
        <w:rPr>
          <w:lang w:val="en-GB"/>
        </w:rPr>
        <w:t xml:space="preserve"> 2 </w:t>
      </w:r>
      <w:r>
        <w:rPr>
          <w:lang w:val="en-GB"/>
        </w:rPr>
        <w:t>MWSt</w:t>
      </w:r>
      <w:r w:rsidRPr="00E96F4C">
        <w:rPr>
          <w:lang w:val="en-GB"/>
        </w:rPr>
        <w:t xml:space="preserve"> </w:t>
      </w:r>
      <w:r>
        <w:rPr>
          <w:lang w:val="en-GB"/>
        </w:rPr>
        <w:t>SysRl</w:t>
      </w:r>
    </w:p>
  </w:footnote>
  <w:footnote w:id="6">
    <w:p w14:paraId="014A999F" w14:textId="77777777" w:rsidR="00781BFA" w:rsidRPr="0002155D" w:rsidRDefault="00781BFA" w:rsidP="00781BFA">
      <w:pPr>
        <w:pStyle w:val="Funotentext"/>
        <w:rPr>
          <w:lang w:val="en-GB"/>
        </w:rPr>
      </w:pPr>
      <w:r>
        <w:rPr>
          <w:rStyle w:val="Funotenzeichen"/>
        </w:rPr>
        <w:footnoteRef/>
      </w:r>
      <w:r w:rsidRPr="0002155D">
        <w:rPr>
          <w:lang w:val="en-GB"/>
        </w:rPr>
        <w:t xml:space="preserve"> </w:t>
      </w:r>
      <w:hyperlink r:id="rId1" w:history="1">
        <w:r w:rsidRPr="00C10DDB">
          <w:rPr>
            <w:rStyle w:val="Hyperlink"/>
            <w:color w:val="auto"/>
            <w:u w:val="none"/>
            <w:lang w:val="en-GB"/>
          </w:rPr>
          <w:t>https://evatr.bff-online.de/eVatR/index_html</w:t>
        </w:r>
      </w:hyperlink>
      <w:r w:rsidRPr="00C10DDB">
        <w:rPr>
          <w:lang w:val="en-GB"/>
        </w:rPr>
        <w:t xml:space="preserve"> </w:t>
      </w:r>
    </w:p>
  </w:footnote>
  <w:footnote w:id="7">
    <w:p w14:paraId="25F40ED4" w14:textId="77777777" w:rsidR="00781BFA" w:rsidRPr="00DF7AAF" w:rsidRDefault="00781BFA" w:rsidP="00781BFA">
      <w:pPr>
        <w:pStyle w:val="Funotentext"/>
        <w:rPr>
          <w:lang w:val="en-GB"/>
        </w:rPr>
      </w:pPr>
      <w:r>
        <w:rPr>
          <w:rStyle w:val="Funotenzeichen"/>
        </w:rPr>
        <w:footnoteRef/>
      </w:r>
      <w:r w:rsidRPr="0002155D">
        <w:rPr>
          <w:lang w:val="en-GB"/>
        </w:rPr>
        <w:t xml:space="preserve"> Value Added Tax Act (Umsatzsteuergesetz) in the version of the notice of 21. </w:t>
      </w:r>
      <w:r w:rsidRPr="00A631E9">
        <w:rPr>
          <w:lang w:val="en-GB"/>
        </w:rPr>
        <w:t>February</w:t>
      </w:r>
      <w:r w:rsidRPr="0002155D">
        <w:rPr>
          <w:lang w:val="en-GB"/>
        </w:rPr>
        <w:t xml:space="preserve"> 2005 (BGBl. I S. 386), which was last changed through Artic</w:t>
      </w:r>
      <w:r>
        <w:rPr>
          <w:lang w:val="en-GB"/>
        </w:rPr>
        <w:t>le</w:t>
      </w:r>
      <w:r w:rsidRPr="0002155D">
        <w:rPr>
          <w:lang w:val="en-GB"/>
        </w:rPr>
        <w:t xml:space="preserve"> 3 </w:t>
      </w:r>
      <w:r w:rsidRPr="00D33DFD">
        <w:rPr>
          <w:lang w:val="en-GB"/>
        </w:rPr>
        <w:t xml:space="preserve">of the Act of </w:t>
      </w:r>
      <w:r w:rsidRPr="0002155D">
        <w:rPr>
          <w:lang w:val="en-GB"/>
        </w:rPr>
        <w:t xml:space="preserve">10. </w:t>
      </w:r>
      <w:r w:rsidRPr="00DF7AAF">
        <w:rPr>
          <w:lang w:val="en-GB"/>
        </w:rPr>
        <w:t>March 2021 (BGBl. I S. 330).</w:t>
      </w:r>
    </w:p>
  </w:footnote>
  <w:footnote w:id="8">
    <w:p w14:paraId="57F1EF77" w14:textId="1EFF2BBB" w:rsidR="007E0339" w:rsidRPr="007E0339" w:rsidRDefault="007E0339">
      <w:pPr>
        <w:pStyle w:val="Funotentext"/>
        <w:rPr>
          <w:lang w:val="en-GB"/>
        </w:rPr>
      </w:pPr>
      <w:r w:rsidRPr="00F32F95">
        <w:rPr>
          <w:rStyle w:val="Funotenzeichen"/>
        </w:rPr>
        <w:footnoteRef/>
      </w:r>
      <w:r w:rsidRPr="00F32F95">
        <w:rPr>
          <w:lang w:val="en-GB"/>
        </w:rPr>
        <w:t xml:space="preserve"> Inscriptions are not readable and only added for completeness. The general structure is of interest.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151E1" w14:textId="77777777" w:rsidR="00B97ED3" w:rsidRDefault="00B97ED3">
    <w:pPr>
      <w:pStyle w:val="Runninghead-left"/>
    </w:pPr>
    <w:r>
      <w:fldChar w:fldCharType="begin"/>
    </w:r>
    <w:r>
      <w:instrText xml:space="preserve"> PAGE  \* MERGEFORMAT </w:instrText>
    </w:r>
    <w:r>
      <w:fldChar w:fldCharType="separate"/>
    </w:r>
    <w:r>
      <w:rPr>
        <w:noProof/>
      </w:rPr>
      <w:t>2</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1E73F" w14:textId="77777777" w:rsidR="00B97ED3" w:rsidRDefault="00B97ED3">
    <w:pPr>
      <w:pStyle w:val="Runninghead-right"/>
    </w:pPr>
    <w:r>
      <w:fldChar w:fldCharType="begin"/>
    </w:r>
    <w:r>
      <w:instrText xml:space="preserve"> PAGE  \* MERGEFORMAT </w:instrText>
    </w:r>
    <w:r>
      <w:fldChar w:fldCharType="separate"/>
    </w:r>
    <w:r>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55C3132"/>
    <w:multiLevelType w:val="hybridMultilevel"/>
    <w:tmpl w:val="0E96D4B4"/>
    <w:lvl w:ilvl="0" w:tplc="04070001">
      <w:start w:val="1"/>
      <w:numFmt w:val="bullet"/>
      <w:lvlText w:val=""/>
      <w:lvlJc w:val="left"/>
      <w:pPr>
        <w:ind w:left="786" w:hanging="360"/>
      </w:pPr>
      <w:rPr>
        <w:rFonts w:ascii="Symbol" w:hAnsi="Symbo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3"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B74833"/>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C63A6A"/>
    <w:multiLevelType w:val="hybridMultilevel"/>
    <w:tmpl w:val="A49C6C4C"/>
    <w:lvl w:ilvl="0" w:tplc="0407000F">
      <w:start w:val="1"/>
      <w:numFmt w:val="decimal"/>
      <w:lvlText w:val="%1."/>
      <w:lvlJc w:val="left"/>
      <w:pPr>
        <w:ind w:left="654" w:hanging="360"/>
      </w:pPr>
    </w:lvl>
    <w:lvl w:ilvl="1" w:tplc="04070019">
      <w:start w:val="1"/>
      <w:numFmt w:val="lowerLetter"/>
      <w:lvlText w:val="%2."/>
      <w:lvlJc w:val="left"/>
      <w:pPr>
        <w:ind w:left="1374" w:hanging="360"/>
      </w:pPr>
    </w:lvl>
    <w:lvl w:ilvl="2" w:tplc="0407001B" w:tentative="1">
      <w:start w:val="1"/>
      <w:numFmt w:val="lowerRoman"/>
      <w:lvlText w:val="%3."/>
      <w:lvlJc w:val="right"/>
      <w:pPr>
        <w:ind w:left="2094" w:hanging="180"/>
      </w:pPr>
    </w:lvl>
    <w:lvl w:ilvl="3" w:tplc="0407000F" w:tentative="1">
      <w:start w:val="1"/>
      <w:numFmt w:val="decimal"/>
      <w:lvlText w:val="%4."/>
      <w:lvlJc w:val="left"/>
      <w:pPr>
        <w:ind w:left="2814" w:hanging="360"/>
      </w:pPr>
    </w:lvl>
    <w:lvl w:ilvl="4" w:tplc="04070019" w:tentative="1">
      <w:start w:val="1"/>
      <w:numFmt w:val="lowerLetter"/>
      <w:lvlText w:val="%5."/>
      <w:lvlJc w:val="left"/>
      <w:pPr>
        <w:ind w:left="3534" w:hanging="360"/>
      </w:pPr>
    </w:lvl>
    <w:lvl w:ilvl="5" w:tplc="0407001B" w:tentative="1">
      <w:start w:val="1"/>
      <w:numFmt w:val="lowerRoman"/>
      <w:lvlText w:val="%6."/>
      <w:lvlJc w:val="right"/>
      <w:pPr>
        <w:ind w:left="4254" w:hanging="180"/>
      </w:pPr>
    </w:lvl>
    <w:lvl w:ilvl="6" w:tplc="0407000F" w:tentative="1">
      <w:start w:val="1"/>
      <w:numFmt w:val="decimal"/>
      <w:lvlText w:val="%7."/>
      <w:lvlJc w:val="left"/>
      <w:pPr>
        <w:ind w:left="4974" w:hanging="360"/>
      </w:pPr>
    </w:lvl>
    <w:lvl w:ilvl="7" w:tplc="04070019" w:tentative="1">
      <w:start w:val="1"/>
      <w:numFmt w:val="lowerLetter"/>
      <w:lvlText w:val="%8."/>
      <w:lvlJc w:val="left"/>
      <w:pPr>
        <w:ind w:left="5694" w:hanging="360"/>
      </w:pPr>
    </w:lvl>
    <w:lvl w:ilvl="8" w:tplc="0407001B" w:tentative="1">
      <w:start w:val="1"/>
      <w:numFmt w:val="lowerRoman"/>
      <w:lvlText w:val="%9."/>
      <w:lvlJc w:val="right"/>
      <w:pPr>
        <w:ind w:left="6414" w:hanging="180"/>
      </w:pPr>
    </w:lvl>
  </w:abstractNum>
  <w:abstractNum w:abstractNumId="7" w15:restartNumberingAfterBreak="0">
    <w:nsid w:val="1F192AB7"/>
    <w:multiLevelType w:val="hybridMultilevel"/>
    <w:tmpl w:val="3170EE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9" w15:restartNumberingAfterBreak="0">
    <w:nsid w:val="2BF63AF2"/>
    <w:multiLevelType w:val="hybridMultilevel"/>
    <w:tmpl w:val="448046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8B40BF6"/>
    <w:multiLevelType w:val="hybridMultilevel"/>
    <w:tmpl w:val="8EB896C0"/>
    <w:lvl w:ilvl="0" w:tplc="81B6B486">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655941"/>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FBE60C4"/>
    <w:multiLevelType w:val="hybridMultilevel"/>
    <w:tmpl w:val="EED4CE4E"/>
    <w:lvl w:ilvl="0" w:tplc="81B6B486">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7470A81"/>
    <w:multiLevelType w:val="hybridMultilevel"/>
    <w:tmpl w:val="6CE059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620167B"/>
    <w:multiLevelType w:val="hybridMultilevel"/>
    <w:tmpl w:val="6644AD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A2E2332"/>
    <w:multiLevelType w:val="multilevel"/>
    <w:tmpl w:val="0407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18"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17"/>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3"/>
  </w:num>
  <w:num w:numId="7">
    <w:abstractNumId w:val="18"/>
  </w:num>
  <w:num w:numId="8">
    <w:abstractNumId w:val="8"/>
  </w:num>
  <w:num w:numId="9">
    <w:abstractNumId w:val="3"/>
  </w:num>
  <w:num w:numId="10">
    <w:abstractNumId w:val="18"/>
  </w:num>
  <w:num w:numId="11">
    <w:abstractNumId w:val="11"/>
  </w:num>
  <w:num w:numId="12">
    <w:abstractNumId w:val="0"/>
  </w:num>
  <w:num w:numId="13">
    <w:abstractNumId w:val="11"/>
  </w:num>
  <w:num w:numId="14">
    <w:abstractNumId w:val="0"/>
  </w:num>
  <w:num w:numId="15">
    <w:abstractNumId w:val="0"/>
  </w:num>
  <w:num w:numId="16">
    <w:abstractNumId w:val="11"/>
  </w:num>
  <w:num w:numId="17">
    <w:abstractNumId w:val="0"/>
  </w:num>
  <w:num w:numId="18">
    <w:abstractNumId w:val="0"/>
  </w:num>
  <w:num w:numId="19">
    <w:abstractNumId w:val="18"/>
  </w:num>
  <w:num w:numId="20">
    <w:abstractNumId w:val="18"/>
  </w:num>
  <w:num w:numId="21">
    <w:abstractNumId w:val="18"/>
  </w:num>
  <w:num w:numId="22">
    <w:abstractNumId w:val="5"/>
  </w:num>
  <w:num w:numId="23">
    <w:abstractNumId w:val="5"/>
  </w:num>
  <w:num w:numId="24">
    <w:abstractNumId w:val="5"/>
  </w:num>
  <w:num w:numId="25">
    <w:abstractNumId w:val="5"/>
  </w:num>
  <w:num w:numId="26">
    <w:abstractNumId w:val="6"/>
  </w:num>
  <w:num w:numId="27">
    <w:abstractNumId w:val="4"/>
  </w:num>
  <w:num w:numId="28">
    <w:abstractNumId w:val="16"/>
  </w:num>
  <w:num w:numId="29">
    <w:abstractNumId w:val="12"/>
  </w:num>
  <w:num w:numId="30">
    <w:abstractNumId w:val="2"/>
  </w:num>
  <w:num w:numId="31">
    <w:abstractNumId w:val="15"/>
  </w:num>
  <w:num w:numId="32">
    <w:abstractNumId w:val="7"/>
  </w:num>
  <w:num w:numId="33">
    <w:abstractNumId w:val="9"/>
  </w:num>
  <w:num w:numId="34">
    <w:abstractNumId w:val="14"/>
  </w:num>
  <w:num w:numId="35">
    <w:abstractNumId w:val="13"/>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0NDW2NLIwszQzNjJT0lEKTi0uzszPAykwqwUANpOCOCwAAAA="/>
  </w:docVars>
  <w:rsids>
    <w:rsidRoot w:val="009943EB"/>
    <w:rsid w:val="00005F1B"/>
    <w:rsid w:val="00016A8F"/>
    <w:rsid w:val="00020075"/>
    <w:rsid w:val="00030503"/>
    <w:rsid w:val="00033F82"/>
    <w:rsid w:val="00044A53"/>
    <w:rsid w:val="00046201"/>
    <w:rsid w:val="0005135A"/>
    <w:rsid w:val="00051CD5"/>
    <w:rsid w:val="0005595A"/>
    <w:rsid w:val="000620AA"/>
    <w:rsid w:val="00064C43"/>
    <w:rsid w:val="000670E5"/>
    <w:rsid w:val="000752A1"/>
    <w:rsid w:val="00082022"/>
    <w:rsid w:val="000A7B20"/>
    <w:rsid w:val="000E0820"/>
    <w:rsid w:val="000F26B5"/>
    <w:rsid w:val="00103A73"/>
    <w:rsid w:val="00110E45"/>
    <w:rsid w:val="00120796"/>
    <w:rsid w:val="001306CE"/>
    <w:rsid w:val="00136C4A"/>
    <w:rsid w:val="00151CBD"/>
    <w:rsid w:val="001567BE"/>
    <w:rsid w:val="00180427"/>
    <w:rsid w:val="001905BB"/>
    <w:rsid w:val="001929AF"/>
    <w:rsid w:val="00192DEF"/>
    <w:rsid w:val="00192E73"/>
    <w:rsid w:val="001954B0"/>
    <w:rsid w:val="001A4451"/>
    <w:rsid w:val="001A727D"/>
    <w:rsid w:val="001B453C"/>
    <w:rsid w:val="001B5AA2"/>
    <w:rsid w:val="001D0B49"/>
    <w:rsid w:val="001D6F36"/>
    <w:rsid w:val="001D73DE"/>
    <w:rsid w:val="00226F60"/>
    <w:rsid w:val="00236209"/>
    <w:rsid w:val="00237352"/>
    <w:rsid w:val="00240499"/>
    <w:rsid w:val="002479B4"/>
    <w:rsid w:val="0025070C"/>
    <w:rsid w:val="0025224B"/>
    <w:rsid w:val="002A28DA"/>
    <w:rsid w:val="002A3447"/>
    <w:rsid w:val="002A37D8"/>
    <w:rsid w:val="002B5D72"/>
    <w:rsid w:val="002D3B05"/>
    <w:rsid w:val="002E32AF"/>
    <w:rsid w:val="002E3774"/>
    <w:rsid w:val="002F2934"/>
    <w:rsid w:val="00301FB3"/>
    <w:rsid w:val="00314F05"/>
    <w:rsid w:val="0032155A"/>
    <w:rsid w:val="00336388"/>
    <w:rsid w:val="00360E7F"/>
    <w:rsid w:val="003866B0"/>
    <w:rsid w:val="0038773A"/>
    <w:rsid w:val="003A1895"/>
    <w:rsid w:val="003B1D63"/>
    <w:rsid w:val="003B3394"/>
    <w:rsid w:val="003B7943"/>
    <w:rsid w:val="003C1E4D"/>
    <w:rsid w:val="003C731B"/>
    <w:rsid w:val="003D2C78"/>
    <w:rsid w:val="003D367B"/>
    <w:rsid w:val="003E35D9"/>
    <w:rsid w:val="004034A7"/>
    <w:rsid w:val="00405C86"/>
    <w:rsid w:val="00405E55"/>
    <w:rsid w:val="00410267"/>
    <w:rsid w:val="00424E57"/>
    <w:rsid w:val="004253A0"/>
    <w:rsid w:val="00425F88"/>
    <w:rsid w:val="00445444"/>
    <w:rsid w:val="00450E4D"/>
    <w:rsid w:val="00454B53"/>
    <w:rsid w:val="004552DA"/>
    <w:rsid w:val="0045753A"/>
    <w:rsid w:val="0046154C"/>
    <w:rsid w:val="004629BB"/>
    <w:rsid w:val="004630F5"/>
    <w:rsid w:val="00493C8D"/>
    <w:rsid w:val="004960F8"/>
    <w:rsid w:val="004B0B55"/>
    <w:rsid w:val="004B197C"/>
    <w:rsid w:val="004C47FF"/>
    <w:rsid w:val="004D1D3E"/>
    <w:rsid w:val="004E0852"/>
    <w:rsid w:val="004F12B1"/>
    <w:rsid w:val="00500D84"/>
    <w:rsid w:val="00506761"/>
    <w:rsid w:val="005104E2"/>
    <w:rsid w:val="00522127"/>
    <w:rsid w:val="00526FAD"/>
    <w:rsid w:val="005308C3"/>
    <w:rsid w:val="0053299E"/>
    <w:rsid w:val="00536761"/>
    <w:rsid w:val="005432AC"/>
    <w:rsid w:val="00544A38"/>
    <w:rsid w:val="00557CF8"/>
    <w:rsid w:val="00566D48"/>
    <w:rsid w:val="00583E41"/>
    <w:rsid w:val="0059146C"/>
    <w:rsid w:val="00594390"/>
    <w:rsid w:val="005A4D37"/>
    <w:rsid w:val="005B224D"/>
    <w:rsid w:val="005B6FED"/>
    <w:rsid w:val="005D6037"/>
    <w:rsid w:val="005D6488"/>
    <w:rsid w:val="005D7ADF"/>
    <w:rsid w:val="005E6C3C"/>
    <w:rsid w:val="00603B32"/>
    <w:rsid w:val="00612C3E"/>
    <w:rsid w:val="006139F1"/>
    <w:rsid w:val="00622AD1"/>
    <w:rsid w:val="00622BDE"/>
    <w:rsid w:val="00640CAA"/>
    <w:rsid w:val="00655F50"/>
    <w:rsid w:val="00656F72"/>
    <w:rsid w:val="006620E7"/>
    <w:rsid w:val="00672D4E"/>
    <w:rsid w:val="00680383"/>
    <w:rsid w:val="006829A3"/>
    <w:rsid w:val="006869BA"/>
    <w:rsid w:val="00687120"/>
    <w:rsid w:val="006877D8"/>
    <w:rsid w:val="006A574A"/>
    <w:rsid w:val="006B245A"/>
    <w:rsid w:val="006C0A04"/>
    <w:rsid w:val="006C7021"/>
    <w:rsid w:val="006D62AA"/>
    <w:rsid w:val="006D6414"/>
    <w:rsid w:val="006E3B89"/>
    <w:rsid w:val="006E723D"/>
    <w:rsid w:val="006F0C8B"/>
    <w:rsid w:val="006F0CDA"/>
    <w:rsid w:val="0070538C"/>
    <w:rsid w:val="00707F88"/>
    <w:rsid w:val="00713416"/>
    <w:rsid w:val="00714374"/>
    <w:rsid w:val="00722F8A"/>
    <w:rsid w:val="00723352"/>
    <w:rsid w:val="00724B78"/>
    <w:rsid w:val="00741231"/>
    <w:rsid w:val="007433DF"/>
    <w:rsid w:val="00743B03"/>
    <w:rsid w:val="007508ED"/>
    <w:rsid w:val="00753DAA"/>
    <w:rsid w:val="00772BBE"/>
    <w:rsid w:val="007747BB"/>
    <w:rsid w:val="0077635E"/>
    <w:rsid w:val="00781BFA"/>
    <w:rsid w:val="00791BDF"/>
    <w:rsid w:val="007922B1"/>
    <w:rsid w:val="007A2AD6"/>
    <w:rsid w:val="007A37E5"/>
    <w:rsid w:val="007A4073"/>
    <w:rsid w:val="007C05ED"/>
    <w:rsid w:val="007C08BD"/>
    <w:rsid w:val="007E0339"/>
    <w:rsid w:val="007F1B14"/>
    <w:rsid w:val="00807025"/>
    <w:rsid w:val="008419C9"/>
    <w:rsid w:val="008461DA"/>
    <w:rsid w:val="00855CF6"/>
    <w:rsid w:val="00855F81"/>
    <w:rsid w:val="008603F5"/>
    <w:rsid w:val="008662CD"/>
    <w:rsid w:val="00881859"/>
    <w:rsid w:val="0088475B"/>
    <w:rsid w:val="00885C6B"/>
    <w:rsid w:val="008B1361"/>
    <w:rsid w:val="008B5F6D"/>
    <w:rsid w:val="008B695E"/>
    <w:rsid w:val="008C0390"/>
    <w:rsid w:val="008C4EC4"/>
    <w:rsid w:val="008C551A"/>
    <w:rsid w:val="008D759D"/>
    <w:rsid w:val="008E2B14"/>
    <w:rsid w:val="008E6E65"/>
    <w:rsid w:val="008F2CEA"/>
    <w:rsid w:val="008F559C"/>
    <w:rsid w:val="008F6317"/>
    <w:rsid w:val="0090009A"/>
    <w:rsid w:val="0090334B"/>
    <w:rsid w:val="00907EAA"/>
    <w:rsid w:val="0091061C"/>
    <w:rsid w:val="00913C03"/>
    <w:rsid w:val="00923875"/>
    <w:rsid w:val="00932E55"/>
    <w:rsid w:val="00936DDB"/>
    <w:rsid w:val="009373C9"/>
    <w:rsid w:val="00940FD0"/>
    <w:rsid w:val="00954D64"/>
    <w:rsid w:val="00967578"/>
    <w:rsid w:val="00976926"/>
    <w:rsid w:val="00981089"/>
    <w:rsid w:val="009943EB"/>
    <w:rsid w:val="00994C6A"/>
    <w:rsid w:val="00995ED8"/>
    <w:rsid w:val="009960F7"/>
    <w:rsid w:val="009A3C37"/>
    <w:rsid w:val="009A5235"/>
    <w:rsid w:val="009D04DB"/>
    <w:rsid w:val="009D2E4D"/>
    <w:rsid w:val="009F2FE5"/>
    <w:rsid w:val="00A1205F"/>
    <w:rsid w:val="00A12FBC"/>
    <w:rsid w:val="00A1344F"/>
    <w:rsid w:val="00A269F5"/>
    <w:rsid w:val="00A400C0"/>
    <w:rsid w:val="00A4249B"/>
    <w:rsid w:val="00A51F68"/>
    <w:rsid w:val="00A532AF"/>
    <w:rsid w:val="00A55EB8"/>
    <w:rsid w:val="00A7006D"/>
    <w:rsid w:val="00A71EBA"/>
    <w:rsid w:val="00A72563"/>
    <w:rsid w:val="00A765C4"/>
    <w:rsid w:val="00A85D6A"/>
    <w:rsid w:val="00A86683"/>
    <w:rsid w:val="00AB1F2D"/>
    <w:rsid w:val="00AC078B"/>
    <w:rsid w:val="00AC38BA"/>
    <w:rsid w:val="00AE050B"/>
    <w:rsid w:val="00AF73A2"/>
    <w:rsid w:val="00B04FE5"/>
    <w:rsid w:val="00B065E8"/>
    <w:rsid w:val="00B12149"/>
    <w:rsid w:val="00B157E2"/>
    <w:rsid w:val="00B16AB6"/>
    <w:rsid w:val="00B24B6B"/>
    <w:rsid w:val="00B257A7"/>
    <w:rsid w:val="00B4290C"/>
    <w:rsid w:val="00B4558F"/>
    <w:rsid w:val="00B5108A"/>
    <w:rsid w:val="00B5459D"/>
    <w:rsid w:val="00B569FC"/>
    <w:rsid w:val="00B61139"/>
    <w:rsid w:val="00B77BB3"/>
    <w:rsid w:val="00B97ED3"/>
    <w:rsid w:val="00BB0973"/>
    <w:rsid w:val="00BD3DBF"/>
    <w:rsid w:val="00BE2107"/>
    <w:rsid w:val="00BE4A52"/>
    <w:rsid w:val="00BF2C5E"/>
    <w:rsid w:val="00BF5D59"/>
    <w:rsid w:val="00C06EE9"/>
    <w:rsid w:val="00C10DDB"/>
    <w:rsid w:val="00C11009"/>
    <w:rsid w:val="00C13A06"/>
    <w:rsid w:val="00C14414"/>
    <w:rsid w:val="00C168C9"/>
    <w:rsid w:val="00C22245"/>
    <w:rsid w:val="00C353C5"/>
    <w:rsid w:val="00C35F02"/>
    <w:rsid w:val="00C41421"/>
    <w:rsid w:val="00C537FC"/>
    <w:rsid w:val="00C57992"/>
    <w:rsid w:val="00C61D22"/>
    <w:rsid w:val="00C7344F"/>
    <w:rsid w:val="00C8532F"/>
    <w:rsid w:val="00C921ED"/>
    <w:rsid w:val="00C941F2"/>
    <w:rsid w:val="00C9597D"/>
    <w:rsid w:val="00CA6EBB"/>
    <w:rsid w:val="00CC0309"/>
    <w:rsid w:val="00CC5788"/>
    <w:rsid w:val="00CD1FEF"/>
    <w:rsid w:val="00CD46C5"/>
    <w:rsid w:val="00CD548C"/>
    <w:rsid w:val="00CF09BD"/>
    <w:rsid w:val="00D033F6"/>
    <w:rsid w:val="00D27CCD"/>
    <w:rsid w:val="00D4092E"/>
    <w:rsid w:val="00D4758B"/>
    <w:rsid w:val="00D51F0A"/>
    <w:rsid w:val="00D52D3D"/>
    <w:rsid w:val="00D53826"/>
    <w:rsid w:val="00D56472"/>
    <w:rsid w:val="00D607A0"/>
    <w:rsid w:val="00D648B7"/>
    <w:rsid w:val="00D70CC9"/>
    <w:rsid w:val="00D73300"/>
    <w:rsid w:val="00D73991"/>
    <w:rsid w:val="00D73F09"/>
    <w:rsid w:val="00D854EA"/>
    <w:rsid w:val="00D87136"/>
    <w:rsid w:val="00D941D5"/>
    <w:rsid w:val="00D9686E"/>
    <w:rsid w:val="00D96BE9"/>
    <w:rsid w:val="00DA4E0B"/>
    <w:rsid w:val="00DB50EA"/>
    <w:rsid w:val="00DB6263"/>
    <w:rsid w:val="00DB6CC0"/>
    <w:rsid w:val="00DC05FD"/>
    <w:rsid w:val="00DC341B"/>
    <w:rsid w:val="00DD2E0E"/>
    <w:rsid w:val="00DD5BCD"/>
    <w:rsid w:val="00DD7B12"/>
    <w:rsid w:val="00DF7AAF"/>
    <w:rsid w:val="00E05E3E"/>
    <w:rsid w:val="00E152D3"/>
    <w:rsid w:val="00E23B3B"/>
    <w:rsid w:val="00E27CBA"/>
    <w:rsid w:val="00E31089"/>
    <w:rsid w:val="00E359E3"/>
    <w:rsid w:val="00E35DEA"/>
    <w:rsid w:val="00E45985"/>
    <w:rsid w:val="00E75B4B"/>
    <w:rsid w:val="00E77AE3"/>
    <w:rsid w:val="00E85270"/>
    <w:rsid w:val="00E90214"/>
    <w:rsid w:val="00E90DCC"/>
    <w:rsid w:val="00E934B1"/>
    <w:rsid w:val="00E936A5"/>
    <w:rsid w:val="00E97B8A"/>
    <w:rsid w:val="00EA44D1"/>
    <w:rsid w:val="00EA7BDA"/>
    <w:rsid w:val="00EB37E9"/>
    <w:rsid w:val="00EB6306"/>
    <w:rsid w:val="00EC1640"/>
    <w:rsid w:val="00EC33A0"/>
    <w:rsid w:val="00EC6153"/>
    <w:rsid w:val="00ED6CDE"/>
    <w:rsid w:val="00EE506A"/>
    <w:rsid w:val="00EF38CE"/>
    <w:rsid w:val="00EF4BF3"/>
    <w:rsid w:val="00F02C4E"/>
    <w:rsid w:val="00F04559"/>
    <w:rsid w:val="00F32F95"/>
    <w:rsid w:val="00F34C2E"/>
    <w:rsid w:val="00F36AA7"/>
    <w:rsid w:val="00F434F8"/>
    <w:rsid w:val="00F46599"/>
    <w:rsid w:val="00F5044D"/>
    <w:rsid w:val="00F55EF2"/>
    <w:rsid w:val="00F75922"/>
    <w:rsid w:val="00F80F1C"/>
    <w:rsid w:val="00F82390"/>
    <w:rsid w:val="00F843DC"/>
    <w:rsid w:val="00F96D8E"/>
    <w:rsid w:val="00FC0FEB"/>
    <w:rsid w:val="00FC3C76"/>
    <w:rsid w:val="00FE27D6"/>
    <w:rsid w:val="00FE2D09"/>
    <w:rsid w:val="00FF4765"/>
    <w:rsid w:val="00FF75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441845"/>
  <w15:chartTrackingRefBased/>
  <w15:docId w15:val="{975649B9-4364-4E3C-BE50-A1EBE6A94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81BFA"/>
    <w:pPr>
      <w:spacing w:after="160" w:line="259" w:lineRule="auto"/>
      <w:jc w:val="both"/>
    </w:pPr>
    <w:rPr>
      <w:rFonts w:eastAsiaTheme="minorHAnsi" w:cstheme="minorBidi"/>
      <w:sz w:val="22"/>
      <w:szCs w:val="22"/>
      <w:lang w:eastAsia="en-US"/>
    </w:rPr>
  </w:style>
  <w:style w:type="paragraph" w:styleId="berschrift1">
    <w:name w:val="heading 1"/>
    <w:basedOn w:val="Standard"/>
    <w:next w:val="Standard"/>
    <w:link w:val="berschrift1Zchn"/>
    <w:uiPriority w:val="9"/>
    <w:qFormat/>
    <w:pPr>
      <w:keepNext/>
      <w:spacing w:after="240"/>
      <w:outlineLvl w:val="0"/>
    </w:pPr>
    <w:rPr>
      <w:rFonts w:ascii="Arial" w:hAnsi="Arial"/>
      <w:b/>
      <w:bCs/>
      <w:sz w:val="28"/>
      <w:szCs w:val="24"/>
    </w:rPr>
  </w:style>
  <w:style w:type="paragraph" w:styleId="berschrift2">
    <w:name w:val="heading 2"/>
    <w:basedOn w:val="Standard"/>
    <w:next w:val="Standard"/>
    <w:link w:val="berschrift2Zchn"/>
    <w:uiPriority w:val="9"/>
    <w:qFormat/>
    <w:pPr>
      <w:keepNext/>
      <w:spacing w:before="240" w:after="120"/>
      <w:outlineLvl w:val="1"/>
    </w:pPr>
    <w:rPr>
      <w:rFonts w:ascii="Arial" w:hAnsi="Arial"/>
      <w:b/>
    </w:rPr>
  </w:style>
  <w:style w:type="paragraph" w:styleId="berschrift3">
    <w:name w:val="heading 3"/>
    <w:basedOn w:val="Standard"/>
    <w:next w:val="Standard"/>
    <w:link w:val="berschrift3Zchn"/>
    <w:uiPriority w:val="9"/>
    <w:qFormat/>
    <w:pPr>
      <w:keepNext/>
      <w:spacing w:before="180" w:after="120"/>
      <w:outlineLvl w:val="2"/>
    </w:pPr>
    <w:rPr>
      <w:rFonts w:ascii="Arial" w:hAnsi="Arial" w:cs="Arial"/>
      <w:b/>
      <w:bCs/>
      <w:szCs w:val="26"/>
    </w:rPr>
  </w:style>
  <w:style w:type="paragraph" w:styleId="berschrift4">
    <w:name w:val="heading 4"/>
    <w:basedOn w:val="Standard"/>
    <w:next w:val="Standard"/>
    <w:link w:val="berschrift4Zchn"/>
    <w:uiPriority w:val="9"/>
    <w:semiHidden/>
    <w:unhideWhenUsed/>
    <w:qFormat/>
    <w:rsid w:val="00781BFA"/>
    <w:pPr>
      <w:keepNext/>
      <w:keepLines/>
      <w:spacing w:before="40" w:after="0"/>
      <w:ind w:left="864" w:hanging="864"/>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781BFA"/>
    <w:pPr>
      <w:keepNext/>
      <w:keepLines/>
      <w:spacing w:before="40" w:after="0"/>
      <w:ind w:left="1008" w:hanging="1008"/>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781BFA"/>
    <w:pPr>
      <w:keepNext/>
      <w:keepLines/>
      <w:spacing w:before="40" w:after="0"/>
      <w:ind w:left="1152" w:hanging="1152"/>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781BFA"/>
    <w:pPr>
      <w:keepNext/>
      <w:keepLines/>
      <w:spacing w:before="40" w:after="0"/>
      <w:ind w:left="1296" w:hanging="1296"/>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781BFA"/>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781BFA"/>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rPr>
      <w:sz w:val="20"/>
    </w:rPr>
  </w:style>
  <w:style w:type="paragraph" w:customStyle="1" w:styleId="Runninghead-left">
    <w:name w:val="Running head - left"/>
    <w:basedOn w:val="Standard"/>
    <w:rsid w:val="00D52D3D"/>
    <w:pPr>
      <w:tabs>
        <w:tab w:val="left" w:pos="680"/>
        <w:tab w:val="right" w:pos="6237"/>
        <w:tab w:val="right" w:pos="6917"/>
      </w:tabs>
      <w:spacing w:after="120" w:line="200" w:lineRule="exact"/>
      <w:jc w:val="left"/>
    </w:pPr>
    <w:rPr>
      <w:sz w:val="17"/>
    </w:rPr>
  </w:style>
  <w:style w:type="paragraph" w:customStyle="1" w:styleId="Runninghead-right">
    <w:name w:val="Running head - right"/>
    <w:basedOn w:val="Runninghead-left"/>
    <w:pPr>
      <w:jc w:val="right"/>
    </w:pPr>
  </w:style>
  <w:style w:type="paragraph" w:customStyle="1" w:styleId="author">
    <w:name w:val="author"/>
    <w:basedOn w:val="Standard"/>
    <w:next w:val="Standard"/>
    <w:rsid w:val="00583E41"/>
    <w:pPr>
      <w:suppressAutoHyphens/>
      <w:spacing w:before="480" w:after="220"/>
      <w:jc w:val="left"/>
    </w:pPr>
    <w:rPr>
      <w:b/>
    </w:rPr>
  </w:style>
  <w:style w:type="paragraph" w:customStyle="1" w:styleId="table">
    <w:name w:val="table"/>
    <w:basedOn w:val="Standard"/>
    <w:rsid w:val="00D52D3D"/>
    <w:pPr>
      <w:spacing w:before="60" w:line="200" w:lineRule="atLeast"/>
      <w:jc w:val="left"/>
    </w:pPr>
    <w:rPr>
      <w:sz w:val="17"/>
      <w:szCs w:val="18"/>
    </w:rPr>
  </w:style>
  <w:style w:type="paragraph" w:customStyle="1" w:styleId="equation">
    <w:name w:val="equation"/>
    <w:basedOn w:val="Standard"/>
    <w:next w:val="Standard"/>
    <w:rsid w:val="00B97ED3"/>
    <w:pPr>
      <w:tabs>
        <w:tab w:val="center" w:pos="3204"/>
        <w:tab w:val="right" w:pos="6634"/>
      </w:tabs>
      <w:spacing w:before="240" w:after="240"/>
      <w:jc w:val="left"/>
    </w:pPr>
  </w:style>
  <w:style w:type="paragraph" w:customStyle="1" w:styleId="figlegend">
    <w:name w:val="figlegend"/>
    <w:basedOn w:val="Standard"/>
    <w:next w:val="Standard"/>
    <w:rsid w:val="00D52D3D"/>
    <w:pPr>
      <w:keepLines/>
      <w:spacing w:before="120" w:after="240" w:line="200" w:lineRule="atLeast"/>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Standard"/>
    <w:next w:val="Standard"/>
  </w:style>
  <w:style w:type="character" w:styleId="Funotenzeichen">
    <w:name w:val="footnote reference"/>
    <w:basedOn w:val="Absatz-Standardschriftart"/>
    <w:uiPriority w:val="99"/>
    <w:semiHidden/>
    <w:rPr>
      <w:position w:val="6"/>
      <w:sz w:val="12"/>
      <w:vertAlign w:val="baseline"/>
    </w:rPr>
  </w:style>
  <w:style w:type="paragraph" w:customStyle="1" w:styleId="heading1">
    <w:name w:val="heading1"/>
    <w:basedOn w:val="Standard"/>
    <w:next w:val="p1a"/>
    <w:rsid w:val="00005F1B"/>
    <w:pPr>
      <w:keepNext/>
      <w:keepLines/>
      <w:tabs>
        <w:tab w:val="left" w:pos="454"/>
      </w:tabs>
      <w:suppressAutoHyphens/>
      <w:spacing w:before="600" w:after="320"/>
      <w:jc w:val="left"/>
    </w:pPr>
    <w:rPr>
      <w:b/>
      <w:sz w:val="24"/>
    </w:rPr>
  </w:style>
  <w:style w:type="paragraph" w:customStyle="1" w:styleId="heading2">
    <w:name w:val="heading2"/>
    <w:basedOn w:val="heading1"/>
    <w:next w:val="p1a"/>
    <w:rsid w:val="00005F1B"/>
    <w:pPr>
      <w:tabs>
        <w:tab w:val="left" w:pos="510"/>
      </w:tabs>
    </w:pPr>
    <w:rPr>
      <w:i/>
    </w:rPr>
  </w:style>
  <w:style w:type="paragraph" w:customStyle="1" w:styleId="heading3">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rPr>
  </w:style>
  <w:style w:type="paragraph" w:customStyle="1" w:styleId="NumberedItem">
    <w:name w:val="Numbered Item"/>
    <w:basedOn w:val="BulletItem"/>
    <w:rsid w:val="006A574A"/>
  </w:style>
  <w:style w:type="paragraph" w:customStyle="1" w:styleId="BulletItem">
    <w:name w:val="Bullet Item"/>
    <w:basedOn w:val="Standard"/>
    <w:rsid w:val="00EA44D1"/>
    <w:pPr>
      <w:numPr>
        <w:numId w:val="25"/>
      </w:numPr>
      <w:spacing w:before="120" w:after="120"/>
      <w:contextualSpacing/>
    </w:pPr>
  </w:style>
  <w:style w:type="paragraph" w:customStyle="1" w:styleId="petit">
    <w:name w:val="petit"/>
    <w:basedOn w:val="Standard"/>
    <w:rsid w:val="00D27CCD"/>
    <w:pPr>
      <w:spacing w:before="120" w:after="120" w:line="200" w:lineRule="atLeast"/>
    </w:pPr>
    <w:rPr>
      <w:sz w:val="17"/>
    </w:rPr>
  </w:style>
  <w:style w:type="paragraph" w:customStyle="1" w:styleId="reference">
    <w:name w:val="reference"/>
    <w:basedOn w:val="Standard"/>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Standard"/>
    <w:next w:val="Standard"/>
    <w:rsid w:val="00D52D3D"/>
    <w:pPr>
      <w:keepNext/>
      <w:keepLines/>
      <w:spacing w:before="240" w:after="120" w:line="200" w:lineRule="atLeast"/>
    </w:pPr>
    <w:rPr>
      <w:sz w:val="17"/>
    </w:rPr>
  </w:style>
  <w:style w:type="paragraph" w:customStyle="1" w:styleId="tablenotes">
    <w:name w:val="tablenotes"/>
    <w:basedOn w:val="Standard"/>
    <w:next w:val="Standard"/>
    <w:rsid w:val="00D52D3D"/>
    <w:pPr>
      <w:widowControl w:val="0"/>
      <w:spacing w:before="20" w:line="200" w:lineRule="atLeast"/>
      <w:jc w:val="left"/>
    </w:pPr>
    <w:rPr>
      <w:sz w:val="17"/>
    </w:rPr>
  </w:style>
  <w:style w:type="paragraph" w:customStyle="1" w:styleId="Titel1">
    <w:name w:val="Titel1"/>
    <w:basedOn w:val="Standard"/>
    <w:next w:val="p1a"/>
    <w:rsid w:val="000E0820"/>
    <w:pPr>
      <w:keepNext/>
      <w:keepLines/>
      <w:pageBreakBefore/>
      <w:tabs>
        <w:tab w:val="left" w:pos="284"/>
      </w:tabs>
      <w:suppressAutoHyphens/>
      <w:spacing w:line="360" w:lineRule="atLeast"/>
      <w:jc w:val="left"/>
    </w:pPr>
    <w:rPr>
      <w:b/>
      <w:sz w:val="32"/>
    </w:rPr>
  </w:style>
  <w:style w:type="paragraph" w:styleId="Verzeichnis1">
    <w:name w:val="toc 1"/>
    <w:basedOn w:val="Standard"/>
    <w:next w:val="petit"/>
    <w:semiHidden/>
    <w:pPr>
      <w:tabs>
        <w:tab w:val="right" w:leader="dot" w:pos="6634"/>
      </w:tabs>
      <w:spacing w:before="240"/>
      <w:jc w:val="left"/>
    </w:pPr>
    <w:rPr>
      <w:b/>
    </w:rPr>
  </w:style>
  <w:style w:type="paragraph" w:styleId="Verzeichnis2">
    <w:name w:val="toc 2"/>
    <w:basedOn w:val="Verzeichnis1"/>
    <w:semiHidden/>
    <w:pPr>
      <w:spacing w:before="0"/>
      <w:ind w:left="284"/>
    </w:pPr>
    <w:rPr>
      <w:b w:val="0"/>
    </w:rPr>
  </w:style>
  <w:style w:type="paragraph" w:styleId="Verzeichnis3">
    <w:name w:val="toc 3"/>
    <w:basedOn w:val="Verzeichnis1"/>
    <w:semiHidden/>
    <w:pPr>
      <w:spacing w:before="0"/>
      <w:ind w:left="510"/>
    </w:pPr>
    <w:rPr>
      <w:b w:val="0"/>
    </w:rPr>
  </w:style>
  <w:style w:type="paragraph" w:styleId="Index1">
    <w:name w:val="index 1"/>
    <w:basedOn w:val="petit"/>
    <w:semiHidden/>
    <w:rsid w:val="009960F7"/>
    <w:pPr>
      <w:spacing w:before="0" w:after="0"/>
      <w:ind w:left="720" w:hanging="720"/>
      <w:jc w:val="left"/>
    </w:pPr>
    <w:rPr>
      <w:szCs w:val="21"/>
    </w:rPr>
  </w:style>
  <w:style w:type="paragraph" w:styleId="Index2">
    <w:name w:val="index 2"/>
    <w:basedOn w:val="Index1"/>
    <w:semiHidden/>
    <w:rsid w:val="009960F7"/>
    <w:pPr>
      <w:ind w:left="958"/>
    </w:pPr>
  </w:style>
  <w:style w:type="paragraph" w:styleId="Index3">
    <w:name w:val="index 3"/>
    <w:basedOn w:val="Standard"/>
    <w:next w:val="Standard"/>
    <w:semiHidden/>
    <w:pPr>
      <w:ind w:left="660" w:hanging="220"/>
      <w:jc w:val="left"/>
    </w:pPr>
    <w:rPr>
      <w:szCs w:val="21"/>
    </w:rPr>
  </w:style>
  <w:style w:type="paragraph" w:styleId="Funotentext">
    <w:name w:val="footnote text"/>
    <w:basedOn w:val="Standard"/>
    <w:link w:val="FunotentextZchn"/>
    <w:uiPriority w:val="99"/>
    <w:semiHidden/>
    <w:rPr>
      <w:sz w:val="20"/>
    </w:rPr>
  </w:style>
  <w:style w:type="paragraph" w:styleId="Verzeichnis4">
    <w:name w:val="toc 4"/>
    <w:basedOn w:val="Verzeichnis3"/>
    <w:next w:val="Standard"/>
    <w:semiHidden/>
    <w:rsid w:val="00772BBE"/>
    <w:pPr>
      <w:ind w:left="737"/>
    </w:pPr>
  </w:style>
  <w:style w:type="character" w:styleId="Hyperlink">
    <w:name w:val="Hyperlink"/>
    <w:basedOn w:val="Absatz-Standardschriftart"/>
    <w:uiPriority w:val="99"/>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Untertitel1">
    <w:name w:val="Untertitel1"/>
    <w:basedOn w:val="Titel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Standard"/>
    <w:next w:val="Standard"/>
    <w:rsid w:val="00B065E8"/>
    <w:pPr>
      <w:suppressAutoHyphens/>
      <w:spacing w:before="120" w:line="200" w:lineRule="atLeast"/>
      <w:ind w:left="238"/>
      <w:jc w:val="left"/>
    </w:pPr>
    <w:rPr>
      <w:sz w:val="17"/>
    </w:rPr>
  </w:style>
  <w:style w:type="paragraph" w:customStyle="1" w:styleId="abstract">
    <w:name w:val="abstract"/>
    <w:basedOn w:val="Standard"/>
    <w:next w:val="Standard"/>
    <w:rsid w:val="00B61139"/>
    <w:pPr>
      <w:spacing w:before="480" w:after="480"/>
    </w:pPr>
  </w:style>
  <w:style w:type="paragraph" w:customStyle="1" w:styleId="quotation">
    <w:name w:val="quotation"/>
    <w:basedOn w:val="affiliation"/>
    <w:next w:val="Standard"/>
    <w:rsid w:val="00044A53"/>
    <w:pPr>
      <w:spacing w:after="120"/>
      <w:ind w:right="238"/>
      <w:contextualSpacing/>
    </w:pPr>
  </w:style>
  <w:style w:type="paragraph" w:customStyle="1" w:styleId="acknowledgements">
    <w:name w:val="acknowledgements"/>
    <w:basedOn w:val="affiliation"/>
    <w:next w:val="Standard"/>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Standard"/>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character" w:customStyle="1" w:styleId="berschrift4Zchn">
    <w:name w:val="Überschrift 4 Zchn"/>
    <w:basedOn w:val="Absatz-Standardschriftart"/>
    <w:link w:val="berschrift4"/>
    <w:uiPriority w:val="9"/>
    <w:semiHidden/>
    <w:rsid w:val="00781BFA"/>
    <w:rPr>
      <w:rFonts w:asciiTheme="majorHAnsi" w:eastAsiaTheme="majorEastAsia" w:hAnsiTheme="majorHAnsi" w:cstheme="majorBidi"/>
      <w:i/>
      <w:iCs/>
      <w:color w:val="2F5496" w:themeColor="accent1" w:themeShade="BF"/>
      <w:sz w:val="22"/>
      <w:szCs w:val="22"/>
      <w:lang w:eastAsia="en-US"/>
    </w:rPr>
  </w:style>
  <w:style w:type="character" w:customStyle="1" w:styleId="berschrift5Zchn">
    <w:name w:val="Überschrift 5 Zchn"/>
    <w:basedOn w:val="Absatz-Standardschriftart"/>
    <w:link w:val="berschrift5"/>
    <w:uiPriority w:val="9"/>
    <w:semiHidden/>
    <w:rsid w:val="00781BFA"/>
    <w:rPr>
      <w:rFonts w:asciiTheme="majorHAnsi" w:eastAsiaTheme="majorEastAsia" w:hAnsiTheme="majorHAnsi" w:cstheme="majorBidi"/>
      <w:color w:val="2F5496" w:themeColor="accent1" w:themeShade="BF"/>
      <w:sz w:val="22"/>
      <w:szCs w:val="22"/>
      <w:lang w:eastAsia="en-US"/>
    </w:rPr>
  </w:style>
  <w:style w:type="character" w:customStyle="1" w:styleId="berschrift6Zchn">
    <w:name w:val="Überschrift 6 Zchn"/>
    <w:basedOn w:val="Absatz-Standardschriftart"/>
    <w:link w:val="berschrift6"/>
    <w:uiPriority w:val="9"/>
    <w:semiHidden/>
    <w:rsid w:val="00781BFA"/>
    <w:rPr>
      <w:rFonts w:asciiTheme="majorHAnsi" w:eastAsiaTheme="majorEastAsia" w:hAnsiTheme="majorHAnsi" w:cstheme="majorBidi"/>
      <w:color w:val="1F3763" w:themeColor="accent1" w:themeShade="7F"/>
      <w:sz w:val="22"/>
      <w:szCs w:val="22"/>
      <w:lang w:eastAsia="en-US"/>
    </w:rPr>
  </w:style>
  <w:style w:type="character" w:customStyle="1" w:styleId="berschrift7Zchn">
    <w:name w:val="Überschrift 7 Zchn"/>
    <w:basedOn w:val="Absatz-Standardschriftart"/>
    <w:link w:val="berschrift7"/>
    <w:uiPriority w:val="9"/>
    <w:semiHidden/>
    <w:rsid w:val="00781BFA"/>
    <w:rPr>
      <w:rFonts w:asciiTheme="majorHAnsi" w:eastAsiaTheme="majorEastAsia" w:hAnsiTheme="majorHAnsi" w:cstheme="majorBidi"/>
      <w:i/>
      <w:iCs/>
      <w:color w:val="1F3763" w:themeColor="accent1" w:themeShade="7F"/>
      <w:sz w:val="22"/>
      <w:szCs w:val="22"/>
      <w:lang w:eastAsia="en-US"/>
    </w:rPr>
  </w:style>
  <w:style w:type="character" w:customStyle="1" w:styleId="berschrift8Zchn">
    <w:name w:val="Überschrift 8 Zchn"/>
    <w:basedOn w:val="Absatz-Standardschriftart"/>
    <w:link w:val="berschrift8"/>
    <w:uiPriority w:val="9"/>
    <w:semiHidden/>
    <w:rsid w:val="00781BFA"/>
    <w:rPr>
      <w:rFonts w:asciiTheme="majorHAnsi" w:eastAsiaTheme="majorEastAsia" w:hAnsiTheme="majorHAnsi" w:cstheme="majorBidi"/>
      <w:color w:val="272727" w:themeColor="text1" w:themeTint="D8"/>
      <w:sz w:val="21"/>
      <w:szCs w:val="21"/>
      <w:lang w:eastAsia="en-US"/>
    </w:rPr>
  </w:style>
  <w:style w:type="character" w:customStyle="1" w:styleId="berschrift9Zchn">
    <w:name w:val="Überschrift 9 Zchn"/>
    <w:basedOn w:val="Absatz-Standardschriftart"/>
    <w:link w:val="berschrift9"/>
    <w:uiPriority w:val="9"/>
    <w:semiHidden/>
    <w:rsid w:val="00781BFA"/>
    <w:rPr>
      <w:rFonts w:asciiTheme="majorHAnsi" w:eastAsiaTheme="majorEastAsia" w:hAnsiTheme="majorHAnsi" w:cstheme="majorBidi"/>
      <w:i/>
      <w:iCs/>
      <w:color w:val="272727" w:themeColor="text1" w:themeTint="D8"/>
      <w:sz w:val="21"/>
      <w:szCs w:val="21"/>
      <w:lang w:eastAsia="en-US"/>
    </w:rPr>
  </w:style>
  <w:style w:type="character" w:customStyle="1" w:styleId="berschrift1Zchn">
    <w:name w:val="Überschrift 1 Zchn"/>
    <w:basedOn w:val="Absatz-Standardschriftart"/>
    <w:link w:val="berschrift1"/>
    <w:uiPriority w:val="9"/>
    <w:rsid w:val="00781BFA"/>
    <w:rPr>
      <w:rFonts w:ascii="Arial" w:hAnsi="Arial"/>
      <w:b/>
      <w:bCs/>
      <w:sz w:val="28"/>
      <w:szCs w:val="24"/>
      <w:lang w:val="en-US"/>
    </w:rPr>
  </w:style>
  <w:style w:type="character" w:customStyle="1" w:styleId="berschrift2Zchn">
    <w:name w:val="Überschrift 2 Zchn"/>
    <w:basedOn w:val="Absatz-Standardschriftart"/>
    <w:link w:val="berschrift2"/>
    <w:uiPriority w:val="9"/>
    <w:rsid w:val="00781BFA"/>
    <w:rPr>
      <w:rFonts w:ascii="Arial" w:hAnsi="Arial"/>
      <w:b/>
      <w:lang w:val="en-US"/>
    </w:rPr>
  </w:style>
  <w:style w:type="character" w:customStyle="1" w:styleId="berschrift3Zchn">
    <w:name w:val="Überschrift 3 Zchn"/>
    <w:basedOn w:val="Absatz-Standardschriftart"/>
    <w:link w:val="berschrift3"/>
    <w:uiPriority w:val="9"/>
    <w:rsid w:val="00781BFA"/>
    <w:rPr>
      <w:rFonts w:ascii="Arial" w:hAnsi="Arial" w:cs="Arial"/>
      <w:b/>
      <w:bCs/>
      <w:szCs w:val="26"/>
      <w:lang w:val="en-US"/>
    </w:rPr>
  </w:style>
  <w:style w:type="paragraph" w:styleId="Listenabsatz">
    <w:name w:val="List Paragraph"/>
    <w:basedOn w:val="Standard"/>
    <w:uiPriority w:val="34"/>
    <w:qFormat/>
    <w:rsid w:val="00781BFA"/>
    <w:pPr>
      <w:ind w:left="720"/>
      <w:contextualSpacing/>
    </w:pPr>
  </w:style>
  <w:style w:type="character" w:styleId="Kommentarzeichen">
    <w:name w:val="annotation reference"/>
    <w:basedOn w:val="Absatz-Standardschriftart"/>
    <w:uiPriority w:val="99"/>
    <w:unhideWhenUsed/>
    <w:rsid w:val="00781BFA"/>
    <w:rPr>
      <w:sz w:val="16"/>
      <w:szCs w:val="16"/>
    </w:rPr>
  </w:style>
  <w:style w:type="paragraph" w:styleId="Kommentartext">
    <w:name w:val="annotation text"/>
    <w:basedOn w:val="Standard"/>
    <w:link w:val="KommentartextZchn"/>
    <w:uiPriority w:val="99"/>
    <w:unhideWhenUsed/>
    <w:rsid w:val="00781BFA"/>
    <w:pPr>
      <w:spacing w:line="240" w:lineRule="auto"/>
    </w:pPr>
    <w:rPr>
      <w:sz w:val="20"/>
      <w:szCs w:val="20"/>
    </w:rPr>
  </w:style>
  <w:style w:type="character" w:customStyle="1" w:styleId="KommentartextZchn">
    <w:name w:val="Kommentartext Zchn"/>
    <w:basedOn w:val="Absatz-Standardschriftart"/>
    <w:link w:val="Kommentartext"/>
    <w:uiPriority w:val="99"/>
    <w:rsid w:val="00781BFA"/>
    <w:rPr>
      <w:rFonts w:eastAsiaTheme="minorHAnsi" w:cstheme="minorBidi"/>
      <w:lang w:eastAsia="en-US"/>
    </w:rPr>
  </w:style>
  <w:style w:type="paragraph" w:styleId="Kommentarthema">
    <w:name w:val="annotation subject"/>
    <w:basedOn w:val="Kommentartext"/>
    <w:next w:val="Kommentartext"/>
    <w:link w:val="KommentarthemaZchn"/>
    <w:uiPriority w:val="99"/>
    <w:unhideWhenUsed/>
    <w:rsid w:val="00781BFA"/>
    <w:rPr>
      <w:b/>
      <w:bCs/>
    </w:rPr>
  </w:style>
  <w:style w:type="character" w:customStyle="1" w:styleId="KommentarthemaZchn">
    <w:name w:val="Kommentarthema Zchn"/>
    <w:basedOn w:val="KommentartextZchn"/>
    <w:link w:val="Kommentarthema"/>
    <w:uiPriority w:val="99"/>
    <w:rsid w:val="00781BFA"/>
    <w:rPr>
      <w:rFonts w:eastAsiaTheme="minorHAnsi" w:cstheme="minorBidi"/>
      <w:b/>
      <w:bCs/>
      <w:lang w:eastAsia="en-US"/>
    </w:rPr>
  </w:style>
  <w:style w:type="paragraph" w:styleId="Beschriftung">
    <w:name w:val="caption"/>
    <w:basedOn w:val="Standard"/>
    <w:next w:val="Standard"/>
    <w:uiPriority w:val="35"/>
    <w:unhideWhenUsed/>
    <w:qFormat/>
    <w:rsid w:val="00781BFA"/>
    <w:pPr>
      <w:spacing w:after="200" w:line="240" w:lineRule="auto"/>
    </w:pPr>
    <w:rPr>
      <w:i/>
      <w:iCs/>
      <w:color w:val="44546A" w:themeColor="text2"/>
      <w:sz w:val="18"/>
      <w:szCs w:val="18"/>
    </w:rPr>
  </w:style>
  <w:style w:type="character" w:customStyle="1" w:styleId="FunotentextZchn">
    <w:name w:val="Fußnotentext Zchn"/>
    <w:basedOn w:val="Absatz-Standardschriftart"/>
    <w:link w:val="Funotentext"/>
    <w:uiPriority w:val="99"/>
    <w:semiHidden/>
    <w:rsid w:val="00781BFA"/>
    <w:rPr>
      <w:rFonts w:ascii="Times" w:hAnsi="Times"/>
      <w:lang w:val="en-US"/>
    </w:rPr>
  </w:style>
  <w:style w:type="character" w:customStyle="1" w:styleId="KopfzeileZchn">
    <w:name w:val="Kopfzeile Zchn"/>
    <w:basedOn w:val="Absatz-Standardschriftart"/>
    <w:link w:val="Kopfzeile"/>
    <w:uiPriority w:val="99"/>
    <w:rsid w:val="00781BFA"/>
    <w:rPr>
      <w:rFonts w:ascii="Times" w:hAnsi="Times"/>
      <w:lang w:val="en-US"/>
    </w:rPr>
  </w:style>
  <w:style w:type="character" w:customStyle="1" w:styleId="FuzeileZchn">
    <w:name w:val="Fußzeile Zchn"/>
    <w:basedOn w:val="Absatz-Standardschriftart"/>
    <w:link w:val="Fuzeile"/>
    <w:uiPriority w:val="99"/>
    <w:rsid w:val="00781BFA"/>
    <w:rPr>
      <w:rFonts w:ascii="Times" w:hAnsi="Times"/>
      <w:lang w:val="en-US"/>
    </w:rPr>
  </w:style>
  <w:style w:type="table" w:styleId="Tabellenraster">
    <w:name w:val="Table Grid"/>
    <w:basedOn w:val="NormaleTabelle"/>
    <w:uiPriority w:val="39"/>
    <w:rsid w:val="00781BF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gtrans">
    <w:name w:val="tag_trans"/>
    <w:basedOn w:val="Absatz-Standardschriftart"/>
    <w:rsid w:val="00781BFA"/>
  </w:style>
  <w:style w:type="paragraph" w:styleId="berarbeitung">
    <w:name w:val="Revision"/>
    <w:hidden/>
    <w:uiPriority w:val="99"/>
    <w:semiHidden/>
    <w:rsid w:val="00781BFA"/>
    <w:rPr>
      <w:rFonts w:eastAsiaTheme="minorHAnsi" w:cstheme="minorBidi"/>
      <w:sz w:val="22"/>
      <w:szCs w:val="22"/>
      <w:lang w:eastAsia="en-US"/>
    </w:rPr>
  </w:style>
  <w:style w:type="paragraph" w:styleId="Sprechblasentext">
    <w:name w:val="Balloon Text"/>
    <w:basedOn w:val="Standard"/>
    <w:link w:val="SprechblasentextZchn"/>
    <w:uiPriority w:val="99"/>
    <w:unhideWhenUsed/>
    <w:rsid w:val="00781BF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781BFA"/>
    <w:rPr>
      <w:rFonts w:ascii="Segoe UI" w:eastAsiaTheme="minorHAnsi" w:hAnsi="Segoe UI" w:cs="Segoe UI"/>
      <w:sz w:val="18"/>
      <w:szCs w:val="18"/>
      <w:lang w:eastAsia="en-US"/>
    </w:rPr>
  </w:style>
  <w:style w:type="character" w:styleId="NichtaufgelsteErwhnung">
    <w:name w:val="Unresolved Mention"/>
    <w:basedOn w:val="Absatz-Standardschriftart"/>
    <w:uiPriority w:val="99"/>
    <w:unhideWhenUsed/>
    <w:rsid w:val="00781BFA"/>
    <w:rPr>
      <w:color w:val="605E5C"/>
      <w:shd w:val="clear" w:color="auto" w:fill="E1DFDD"/>
    </w:rPr>
  </w:style>
  <w:style w:type="paragraph" w:styleId="Literaturverzeichnis">
    <w:name w:val="Bibliography"/>
    <w:basedOn w:val="Standard"/>
    <w:next w:val="Standard"/>
    <w:uiPriority w:val="37"/>
    <w:unhideWhenUsed/>
    <w:rsid w:val="00781BFA"/>
  </w:style>
  <w:style w:type="character" w:styleId="Erwhnung">
    <w:name w:val="Mention"/>
    <w:basedOn w:val="Absatz-Standardschriftart"/>
    <w:uiPriority w:val="99"/>
    <w:unhideWhenUsed/>
    <w:rsid w:val="00DC341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04641">
      <w:bodyDiv w:val="1"/>
      <w:marLeft w:val="0"/>
      <w:marRight w:val="0"/>
      <w:marTop w:val="0"/>
      <w:marBottom w:val="0"/>
      <w:divBdr>
        <w:top w:val="none" w:sz="0" w:space="0" w:color="auto"/>
        <w:left w:val="none" w:sz="0" w:space="0" w:color="auto"/>
        <w:bottom w:val="none" w:sz="0" w:space="0" w:color="auto"/>
        <w:right w:val="none" w:sz="0" w:space="0" w:color="auto"/>
      </w:divBdr>
    </w:div>
    <w:div w:id="142283801">
      <w:bodyDiv w:val="1"/>
      <w:marLeft w:val="0"/>
      <w:marRight w:val="0"/>
      <w:marTop w:val="0"/>
      <w:marBottom w:val="0"/>
      <w:divBdr>
        <w:top w:val="none" w:sz="0" w:space="0" w:color="auto"/>
        <w:left w:val="none" w:sz="0" w:space="0" w:color="auto"/>
        <w:bottom w:val="none" w:sz="0" w:space="0" w:color="auto"/>
        <w:right w:val="none" w:sz="0" w:space="0" w:color="auto"/>
      </w:divBdr>
    </w:div>
    <w:div w:id="330329544">
      <w:bodyDiv w:val="1"/>
      <w:marLeft w:val="0"/>
      <w:marRight w:val="0"/>
      <w:marTop w:val="0"/>
      <w:marBottom w:val="0"/>
      <w:divBdr>
        <w:top w:val="none" w:sz="0" w:space="0" w:color="auto"/>
        <w:left w:val="none" w:sz="0" w:space="0" w:color="auto"/>
        <w:bottom w:val="none" w:sz="0" w:space="0" w:color="auto"/>
        <w:right w:val="none" w:sz="0" w:space="0" w:color="auto"/>
      </w:divBdr>
    </w:div>
    <w:div w:id="416631783">
      <w:bodyDiv w:val="1"/>
      <w:marLeft w:val="0"/>
      <w:marRight w:val="0"/>
      <w:marTop w:val="0"/>
      <w:marBottom w:val="0"/>
      <w:divBdr>
        <w:top w:val="none" w:sz="0" w:space="0" w:color="auto"/>
        <w:left w:val="none" w:sz="0" w:space="0" w:color="auto"/>
        <w:bottom w:val="none" w:sz="0" w:space="0" w:color="auto"/>
        <w:right w:val="none" w:sz="0" w:space="0" w:color="auto"/>
      </w:divBdr>
    </w:div>
    <w:div w:id="473261665">
      <w:bodyDiv w:val="1"/>
      <w:marLeft w:val="0"/>
      <w:marRight w:val="0"/>
      <w:marTop w:val="0"/>
      <w:marBottom w:val="0"/>
      <w:divBdr>
        <w:top w:val="none" w:sz="0" w:space="0" w:color="auto"/>
        <w:left w:val="none" w:sz="0" w:space="0" w:color="auto"/>
        <w:bottom w:val="none" w:sz="0" w:space="0" w:color="auto"/>
        <w:right w:val="none" w:sz="0" w:space="0" w:color="auto"/>
      </w:divBdr>
    </w:div>
    <w:div w:id="530067720">
      <w:bodyDiv w:val="1"/>
      <w:marLeft w:val="0"/>
      <w:marRight w:val="0"/>
      <w:marTop w:val="0"/>
      <w:marBottom w:val="0"/>
      <w:divBdr>
        <w:top w:val="none" w:sz="0" w:space="0" w:color="auto"/>
        <w:left w:val="none" w:sz="0" w:space="0" w:color="auto"/>
        <w:bottom w:val="none" w:sz="0" w:space="0" w:color="auto"/>
        <w:right w:val="none" w:sz="0" w:space="0" w:color="auto"/>
      </w:divBdr>
    </w:div>
    <w:div w:id="551815185">
      <w:bodyDiv w:val="1"/>
      <w:marLeft w:val="0"/>
      <w:marRight w:val="0"/>
      <w:marTop w:val="0"/>
      <w:marBottom w:val="0"/>
      <w:divBdr>
        <w:top w:val="none" w:sz="0" w:space="0" w:color="auto"/>
        <w:left w:val="none" w:sz="0" w:space="0" w:color="auto"/>
        <w:bottom w:val="none" w:sz="0" w:space="0" w:color="auto"/>
        <w:right w:val="none" w:sz="0" w:space="0" w:color="auto"/>
      </w:divBdr>
    </w:div>
    <w:div w:id="769087870">
      <w:bodyDiv w:val="1"/>
      <w:marLeft w:val="0"/>
      <w:marRight w:val="0"/>
      <w:marTop w:val="0"/>
      <w:marBottom w:val="0"/>
      <w:divBdr>
        <w:top w:val="none" w:sz="0" w:space="0" w:color="auto"/>
        <w:left w:val="none" w:sz="0" w:space="0" w:color="auto"/>
        <w:bottom w:val="none" w:sz="0" w:space="0" w:color="auto"/>
        <w:right w:val="none" w:sz="0" w:space="0" w:color="auto"/>
      </w:divBdr>
    </w:div>
    <w:div w:id="919219641">
      <w:bodyDiv w:val="1"/>
      <w:marLeft w:val="0"/>
      <w:marRight w:val="0"/>
      <w:marTop w:val="0"/>
      <w:marBottom w:val="0"/>
      <w:divBdr>
        <w:top w:val="none" w:sz="0" w:space="0" w:color="auto"/>
        <w:left w:val="none" w:sz="0" w:space="0" w:color="auto"/>
        <w:bottom w:val="none" w:sz="0" w:space="0" w:color="auto"/>
        <w:right w:val="none" w:sz="0" w:space="0" w:color="auto"/>
      </w:divBdr>
    </w:div>
    <w:div w:id="948854155">
      <w:bodyDiv w:val="1"/>
      <w:marLeft w:val="0"/>
      <w:marRight w:val="0"/>
      <w:marTop w:val="0"/>
      <w:marBottom w:val="0"/>
      <w:divBdr>
        <w:top w:val="none" w:sz="0" w:space="0" w:color="auto"/>
        <w:left w:val="none" w:sz="0" w:space="0" w:color="auto"/>
        <w:bottom w:val="none" w:sz="0" w:space="0" w:color="auto"/>
        <w:right w:val="none" w:sz="0" w:space="0" w:color="auto"/>
      </w:divBdr>
    </w:div>
    <w:div w:id="1183204592">
      <w:bodyDiv w:val="1"/>
      <w:marLeft w:val="0"/>
      <w:marRight w:val="0"/>
      <w:marTop w:val="0"/>
      <w:marBottom w:val="0"/>
      <w:divBdr>
        <w:top w:val="none" w:sz="0" w:space="0" w:color="auto"/>
        <w:left w:val="none" w:sz="0" w:space="0" w:color="auto"/>
        <w:bottom w:val="none" w:sz="0" w:space="0" w:color="auto"/>
        <w:right w:val="none" w:sz="0" w:space="0" w:color="auto"/>
      </w:divBdr>
    </w:div>
    <w:div w:id="1384060057">
      <w:bodyDiv w:val="1"/>
      <w:marLeft w:val="0"/>
      <w:marRight w:val="0"/>
      <w:marTop w:val="0"/>
      <w:marBottom w:val="0"/>
      <w:divBdr>
        <w:top w:val="none" w:sz="0" w:space="0" w:color="auto"/>
        <w:left w:val="none" w:sz="0" w:space="0" w:color="auto"/>
        <w:bottom w:val="none" w:sz="0" w:space="0" w:color="auto"/>
        <w:right w:val="none" w:sz="0" w:space="0" w:color="auto"/>
      </w:divBdr>
    </w:div>
    <w:div w:id="1391348453">
      <w:bodyDiv w:val="1"/>
      <w:marLeft w:val="0"/>
      <w:marRight w:val="0"/>
      <w:marTop w:val="0"/>
      <w:marBottom w:val="0"/>
      <w:divBdr>
        <w:top w:val="none" w:sz="0" w:space="0" w:color="auto"/>
        <w:left w:val="none" w:sz="0" w:space="0" w:color="auto"/>
        <w:bottom w:val="none" w:sz="0" w:space="0" w:color="auto"/>
        <w:right w:val="none" w:sz="0" w:space="0" w:color="auto"/>
      </w:divBdr>
    </w:div>
    <w:div w:id="1497304114">
      <w:bodyDiv w:val="1"/>
      <w:marLeft w:val="0"/>
      <w:marRight w:val="0"/>
      <w:marTop w:val="0"/>
      <w:marBottom w:val="0"/>
      <w:divBdr>
        <w:top w:val="none" w:sz="0" w:space="0" w:color="auto"/>
        <w:left w:val="none" w:sz="0" w:space="0" w:color="auto"/>
        <w:bottom w:val="none" w:sz="0" w:space="0" w:color="auto"/>
        <w:right w:val="none" w:sz="0" w:space="0" w:color="auto"/>
      </w:divBdr>
    </w:div>
    <w:div w:id="1500002004">
      <w:bodyDiv w:val="1"/>
      <w:marLeft w:val="0"/>
      <w:marRight w:val="0"/>
      <w:marTop w:val="0"/>
      <w:marBottom w:val="0"/>
      <w:divBdr>
        <w:top w:val="none" w:sz="0" w:space="0" w:color="auto"/>
        <w:left w:val="none" w:sz="0" w:space="0" w:color="auto"/>
        <w:bottom w:val="none" w:sz="0" w:space="0" w:color="auto"/>
        <w:right w:val="none" w:sz="0" w:space="0" w:color="auto"/>
      </w:divBdr>
    </w:div>
    <w:div w:id="1502818173">
      <w:bodyDiv w:val="1"/>
      <w:marLeft w:val="0"/>
      <w:marRight w:val="0"/>
      <w:marTop w:val="0"/>
      <w:marBottom w:val="0"/>
      <w:divBdr>
        <w:top w:val="none" w:sz="0" w:space="0" w:color="auto"/>
        <w:left w:val="none" w:sz="0" w:space="0" w:color="auto"/>
        <w:bottom w:val="none" w:sz="0" w:space="0" w:color="auto"/>
        <w:right w:val="none" w:sz="0" w:space="0" w:color="auto"/>
      </w:divBdr>
    </w:div>
    <w:div w:id="1516193843">
      <w:bodyDiv w:val="1"/>
      <w:marLeft w:val="0"/>
      <w:marRight w:val="0"/>
      <w:marTop w:val="0"/>
      <w:marBottom w:val="0"/>
      <w:divBdr>
        <w:top w:val="none" w:sz="0" w:space="0" w:color="auto"/>
        <w:left w:val="none" w:sz="0" w:space="0" w:color="auto"/>
        <w:bottom w:val="none" w:sz="0" w:space="0" w:color="auto"/>
        <w:right w:val="none" w:sz="0" w:space="0" w:color="auto"/>
      </w:divBdr>
    </w:div>
    <w:div w:id="1598245774">
      <w:bodyDiv w:val="1"/>
      <w:marLeft w:val="0"/>
      <w:marRight w:val="0"/>
      <w:marTop w:val="0"/>
      <w:marBottom w:val="0"/>
      <w:divBdr>
        <w:top w:val="none" w:sz="0" w:space="0" w:color="auto"/>
        <w:left w:val="none" w:sz="0" w:space="0" w:color="auto"/>
        <w:bottom w:val="none" w:sz="0" w:space="0" w:color="auto"/>
        <w:right w:val="none" w:sz="0" w:space="0" w:color="auto"/>
      </w:divBdr>
    </w:div>
    <w:div w:id="1646736184">
      <w:bodyDiv w:val="1"/>
      <w:marLeft w:val="0"/>
      <w:marRight w:val="0"/>
      <w:marTop w:val="0"/>
      <w:marBottom w:val="0"/>
      <w:divBdr>
        <w:top w:val="none" w:sz="0" w:space="0" w:color="auto"/>
        <w:left w:val="none" w:sz="0" w:space="0" w:color="auto"/>
        <w:bottom w:val="none" w:sz="0" w:space="0" w:color="auto"/>
        <w:right w:val="none" w:sz="0" w:space="0" w:color="auto"/>
      </w:divBdr>
    </w:div>
    <w:div w:id="1892693624">
      <w:bodyDiv w:val="1"/>
      <w:marLeft w:val="0"/>
      <w:marRight w:val="0"/>
      <w:marTop w:val="0"/>
      <w:marBottom w:val="0"/>
      <w:divBdr>
        <w:top w:val="none" w:sz="0" w:space="0" w:color="auto"/>
        <w:left w:val="none" w:sz="0" w:space="0" w:color="auto"/>
        <w:bottom w:val="none" w:sz="0" w:space="0" w:color="auto"/>
        <w:right w:val="none" w:sz="0" w:space="0" w:color="auto"/>
      </w:divBdr>
    </w:div>
    <w:div w:id="209893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robert.mueller@dfki.de" TargetMode="External"/><Relationship Id="rId18" Type="http://schemas.openxmlformats.org/officeDocument/2006/relationships/image" Target="media/image4.svg"/><Relationship Id="rId26" Type="http://schemas.openxmlformats.org/officeDocument/2006/relationships/image" Target="media/image12.svg"/><Relationship Id="rId39" Type="http://schemas.openxmlformats.org/officeDocument/2006/relationships/glossaryDocument" Target="glossary/document.xml"/><Relationship Id="rId21" Type="http://schemas.openxmlformats.org/officeDocument/2006/relationships/image" Target="media/image7.png"/><Relationship Id="rId34" Type="http://schemas.openxmlformats.org/officeDocument/2006/relationships/image" Target="media/image20.svg"/><Relationship Id="rId7" Type="http://schemas.openxmlformats.org/officeDocument/2006/relationships/settings" Target="settings.xml"/><Relationship Id="rId12" Type="http://schemas.openxmlformats.org/officeDocument/2006/relationships/hyperlink" Target="mailto:alessandro.benke@dfki.de"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ominic.neu@dfki.de" TargetMode="External"/><Relationship Id="rId24" Type="http://schemas.openxmlformats.org/officeDocument/2006/relationships/image" Target="media/image10.svg"/><Relationship Id="rId32" Type="http://schemas.openxmlformats.org/officeDocument/2006/relationships/image" Target="media/image18.sv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sv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eter.fettke@dfki.de" TargetMode="External"/><Relationship Id="rId22" Type="http://schemas.openxmlformats.org/officeDocument/2006/relationships/image" Target="media/image8.svg"/><Relationship Id="rId27" Type="http://schemas.openxmlformats.org/officeDocument/2006/relationships/image" Target="media/image13.png"/><Relationship Id="rId30" Type="http://schemas.openxmlformats.org/officeDocument/2006/relationships/image" Target="media/image16.sv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evatr.bff-online.de/eVatR/index_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u\AppData\Roaming\Microsoft\Templates\T1-book.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69B827011394CB7AE6450E681B66DA6"/>
        <w:category>
          <w:name w:val="Allgemein"/>
          <w:gallery w:val="placeholder"/>
        </w:category>
        <w:types>
          <w:type w:val="bbPlcHdr"/>
        </w:types>
        <w:behaviors>
          <w:behavior w:val="content"/>
        </w:behaviors>
        <w:guid w:val="{697D88F2-E985-4345-BFD3-97B296BBD482}"/>
      </w:docPartPr>
      <w:docPartBody>
        <w:p w:rsidR="000519FC" w:rsidRDefault="000519F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9FC"/>
    <w:rsid w:val="000519FC"/>
    <w:rsid w:val="002E237A"/>
    <w:rsid w:val="00753591"/>
    <w:rsid w:val="00B32538"/>
    <w:rsid w:val="00B83CFD"/>
    <w:rsid w:val="00BD34AD"/>
    <w:rsid w:val="00BE6FB9"/>
    <w:rsid w:val="00F933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54BD5DEE3D6384FB1FA396547C001FD" ma:contentTypeVersion="11" ma:contentTypeDescription="Ein neues Dokument erstellen." ma:contentTypeScope="" ma:versionID="0bf25a9775a58c77e5069ce6af96e877">
  <xsd:schema xmlns:xsd="http://www.w3.org/2001/XMLSchema" xmlns:xs="http://www.w3.org/2001/XMLSchema" xmlns:p="http://schemas.microsoft.com/office/2006/metadata/properties" xmlns:ns2="9c38685b-7c4c-4d0a-81d5-a46e29404424" xmlns:ns3="9239a1a8-4d17-4459-b090-7bfed459b765" targetNamespace="http://schemas.microsoft.com/office/2006/metadata/properties" ma:root="true" ma:fieldsID="81d913ec5598d6cb94be86991185e249" ns2:_="" ns3:_="">
    <xsd:import namespace="9c38685b-7c4c-4d0a-81d5-a46e29404424"/>
    <xsd:import namespace="9239a1a8-4d17-4459-b090-7bfed459b7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38685b-7c4c-4d0a-81d5-a46e294044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39a1a8-4d17-4459-b090-7bfed459b765"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Ism19</b:Tag>
    <b:SourceType>ArticleInAPeriodical</b:SourceType>
    <b:Guid>{33752C57-7C74-41B8-95A8-E1AB16D8F806}</b:Guid>
    <b:Title>Combating VAT Fraud through Digital Technologies: A Reform Proposal</b:Title>
    <b:Year>2019</b:Year>
    <b:PeriodicalTitle>IVM</b:PeriodicalTitle>
    <b:Pages>240</b:Pages>
    <b:Author>
      <b:Author>
        <b:NameList>
          <b:Person>
            <b:Last>Ismer</b:Last>
          </b:Person>
          <b:Person>
            <b:Last>Schwarz</b:Last>
          </b:Person>
        </b:NameList>
      </b:Author>
    </b:Author>
    <b:RefOrder>1</b:RefOrder>
  </b:Source>
  <b:Source>
    <b:Tag>EUc</b:Tag>
    <b:SourceType>Report</b:SourceType>
    <b:Guid>{7BDC2344-4DFB-4842-A287-BE1C8E0F3DFB}</b:Guid>
    <b:Title>, Towards a single EU VAT area - Time to act. Amended proposal for a Council Regulation amending Regulation (EU) No 904/2010 as regards measures to strengthen administrative cooperation in the field of value added tax, COM 2017 706 final.</b:Title>
    <b:Author>
      <b:Author>
        <b:NameList>
          <b:Person>
            <b:Last>EU-commission</b:Last>
          </b:Person>
        </b:NameList>
      </b:Author>
    </b:Author>
    <b:Year>2017</b:Year>
    <b:City>Brussels</b:City>
    <b:RefOrder>2</b:RefOrder>
  </b:Source>
  <b:Source>
    <b:Tag>Fet18</b:Tag>
    <b:SourceType>ArticleInAPeriodical</b:SourceType>
    <b:Guid>{4910F11A-DA2D-4B40-8DE9-727A94582378}</b:Guid>
    <b:Title>Blockchain: Wird eine sog. "real time" Tax Compliance möglich?</b:Title>
    <b:Pages>1748-1755</b:Pages>
    <b:Year>2018</b:Year>
    <b:PeriodicalTitle>Der Betrieb</b:PeriodicalTitle>
    <b:Month>July</b:Month>
    <b:Day>27</b:Day>
    <b:Author>
      <b:Author>
        <b:NameList>
          <b:Person>
            <b:Last>Fettke</b:Last>
            <b:First>Peter</b:First>
          </b:Person>
          <b:Person>
            <b:Last>Risse</b:Last>
            <b:First>Robert</b:First>
          </b:Person>
        </b:NameList>
      </b:Author>
    </b:Author>
    <b:RefOrder>3</b:RefOrder>
  </b:Source>
  <b:Source>
    <b:Tag>Ale19</b:Tag>
    <b:SourceType>ArticleInAPeriodical</b:SourceType>
    <b:Guid>{5AA89C21-E749-4B3D-96C3-058E2035E510}</b:Guid>
    <b:Author>
      <b:Author>
        <b:NameList>
          <b:Person>
            <b:Last>Bal</b:Last>
            <b:First>Aleksandra</b:First>
          </b:Person>
        </b:NameList>
      </b:Author>
    </b:Author>
    <b:Title>Indirect Tax Compliance: Process Automation or Process Transformation?</b:Title>
    <b:PeriodicalTitle>Tax notes international</b:PeriodicalTitle>
    <b:Year>2019</b:Year>
    <b:Month>April</b:Month>
    <b:Day>15</b:Day>
    <b:Pages>255-258</b:Pages>
    <b:RefOrder>4</b:RefOrder>
  </b:Source>
  <b:Source>
    <b:Tag>van18</b:Tag>
    <b:SourceType>ArticleInAPeriodical</b:SourceType>
    <b:Guid>{4D801242-3C27-4C81-ACF0-351683A321D1}</b:Guid>
    <b:Title>Robotic Process Automation</b:Title>
    <b:Year>2018</b:Year>
    <b:Author>
      <b:Author>
        <b:NameList>
          <b:Person>
            <b:Last>van der Aalst</b:Last>
            <b:First>Wil</b:First>
          </b:Person>
          <b:Person>
            <b:Last>Bichler</b:Last>
            <b:First>Martin</b:First>
          </b:Person>
          <b:Person>
            <b:Last>Heinzl</b:Last>
            <b:First>Armin</b:First>
          </b:Person>
        </b:NameList>
      </b:Author>
    </b:Author>
    <b:PeriodicalTitle>Business &amp; Information Systems Engineering</b:PeriodicalTitle>
    <b:Pages>269-272</b:Pages>
    <b:RefOrder>5</b:RefOrder>
  </b:Source>
  <b:Source>
    <b:Tag>Hou19</b:Tag>
    <b:SourceType>ConferenceProceedings</b:SourceType>
    <b:Guid>{1E1AF248-26C0-4C72-8A06-A95B8FD96F0B}</b:Guid>
    <b:Title>Robotic Process Automation in Public Administrations</b:Title>
    <b:Year>2019</b:Year>
    <b:Pages>62-74</b:Pages>
    <b:City>Münster</b:City>
    <b:Publisher>Gesellschaft für Informatik (GI)</b:Publisher>
    <b:ConferenceName>Digitalisierung von Staat und Verwaltung. Fachtagung Verwaltungsinformatik (FTVI) und Fachtagung Rechtsinformatik (FTRI)</b:ConferenceName>
    <b:Author>
      <b:Author>
        <b:NameList>
          <b:Person>
            <b:Last>Houy</b:Last>
            <b:First>Constantin</b:First>
          </b:Person>
          <b:Person>
            <b:Last>Hamberg</b:Last>
            <b:First>Maarten</b:First>
          </b:Person>
          <b:Person>
            <b:Last>Fettke</b:Last>
            <b:First>Peter</b:First>
          </b:Person>
        </b:NameList>
      </b:Author>
    </b:Author>
    <b:RefOrder>6</b:RefOrder>
  </b:Source>
  <b:Source>
    <b:Tag>Rom19</b:Tag>
    <b:SourceType>ConferenceProceedings</b:SourceType>
    <b:Guid>{BAA97B77-C283-42C1-BA3D-36789135681F}</b:Guid>
    <b:Title>Robotic process automation: A case study in the banking industry</b:Title>
    <b:Pages>1-6</b:Pages>
    <b:Year>2019</b:Year>
    <b:ConferenceName>2019 14th Iberian Conference on information systems and technologies (CISTI)</b:ConferenceName>
    <b:Publisher>IEEE</b:Publisher>
    <b:Author>
      <b:Author>
        <b:NameList>
          <b:Person>
            <b:Last>Romao</b:Last>
            <b:First>Mario</b:First>
          </b:Person>
          <b:Person>
            <b:Last>Costa</b:Last>
            <b:First>Joao </b:First>
          </b:Person>
          <b:Person>
            <b:Last>Costa</b:Last>
            <b:Middle>J</b:Middle>
            <b:First>Carlos</b:First>
          </b:Person>
        </b:NameList>
      </b:Author>
    </b:Author>
    <b:RefOrder>11</b:RefOrder>
  </b:Source>
  <b:Source>
    <b:Tag>Agu17</b:Tag>
    <b:SourceType>ConferenceProceedings</b:SourceType>
    <b:Guid>{2EBD8B5C-3011-4F0E-9835-1B92AC7B95CB}</b:Guid>
    <b:Title>Automation of a business process using robotic process automation (RPA): A case study</b:Title>
    <b:Year>2017</b:Year>
    <b:Pages>65-71</b:Pages>
    <b:ConferenceName>Workshop on engineering applications</b:ConferenceName>
    <b:Publisher>Springer</b:Publisher>
    <b:Author>
      <b:Author>
        <b:NameList>
          <b:Person>
            <b:Last>Aguirre</b:Last>
            <b:First>Santiago </b:First>
          </b:Person>
          <b:Person>
            <b:Last>Rodriguez</b:Last>
            <b:First>Alejandro</b:First>
          </b:Person>
        </b:NameList>
      </b:Author>
    </b:Author>
    <b:RefOrder>12</b:RefOrder>
  </b:Source>
  <b:Source>
    <b:Tag>Ama16</b:Tag>
    <b:SourceType>ArticleInAPeriodical</b:SourceType>
    <b:Guid>{F3A99837-660E-4243-8F85-36A546F3B04C}</b:Guid>
    <b:Title>The Impossible Proof of Intra-Community Supplies of Goods</b:Title>
    <b:Year>2016</b:Year>
    <b:Author>
      <b:Author>
        <b:NameList>
          <b:Person>
            <b:Last>Amand</b:Last>
            <b:First>Christian</b:First>
          </b:Person>
        </b:NameList>
      </b:Author>
    </b:Author>
    <b:PeriodicalTitle>International VAT Monitor</b:PeriodicalTitle>
    <b:Pages>98</b:Pages>
    <b:RefOrder>15</b:RefOrder>
  </b:Source>
  <b:Source>
    <b:Tag>Die18</b:Tag>
    <b:SourceType>ArticleInAPeriodical</b:SourceType>
    <b:Guid>{4D32E853-0FC6-4816-860F-5E0D69EFDBA1}</b:Guid>
    <b:Author>
      <b:Author>
        <b:NameList>
          <b:Person>
            <b:Last>Dietsch</b:Last>
            <b:Middle>R.</b:Middle>
            <b:First>David</b:First>
          </b:Person>
        </b:NameList>
      </b:Author>
    </b:Author>
    <b:Title>Umsatzsteuer 4.0 - wie Blockchain grenzüberschreitende Reihengeschäfte transparenter machen könnte</b:Title>
    <b:Year>2018</b:Year>
    <b:PeriodicalTitle>MwStR</b:PeriodicalTitle>
    <b:Pages>813</b:Pages>
    <b:RefOrder>16</b:RefOrder>
  </b:Source>
  <b:Source>
    <b:Tag>van08</b:Tag>
    <b:SourceType>Book</b:SourceType>
    <b:Guid>{A7AFD288-90C9-4813-9EAA-D7922B945C4A}</b:Guid>
    <b:Title>Software Engineering: Principles and Practice</b:Title>
    <b:Year>2008</b:Year>
    <b:City>Hoboken</b:City>
    <b:Publisher>Wiley &amp; Sons</b:Publisher>
    <b:Author>
      <b:Author>
        <b:NameList>
          <b:Person>
            <b:Last>van Vliet</b:Last>
            <b:First>Hans</b:First>
          </b:Person>
        </b:NameList>
      </b:Author>
    </b:Author>
    <b:RefOrder>17</b:RefOrder>
  </b:Source>
  <b:Source>
    <b:Tag>Lan17</b:Tag>
    <b:SourceType>Book</b:SourceType>
    <b:Guid>{3B862C78-A64F-4625-A613-07EE8D6AA5F2}</b:Guid>
    <b:Title>Umsatzsteuer und Steuerplanung</b:Title>
    <b:Year>2017</b:Year>
    <b:City>Wiesbaden</b:City>
    <b:Publisher>Springer Fachmedien</b:Publisher>
    <b:Author>
      <b:Author>
        <b:NameList>
          <b:Person>
            <b:Last>Langhein</b:Last>
            <b:First>Nils</b:First>
          </b:Person>
        </b:NameList>
      </b:Author>
    </b:Author>
    <b:RefOrder>18</b:RefOrder>
  </b:Source>
  <b:Source>
    <b:Tag>Men08</b:Tag>
    <b:SourceType>ArticleInAPeriodical</b:SourceType>
    <b:Guid>{6D6A4849-8FC2-46F0-AAAB-B4E576A65523}</b:Guid>
    <b:Title>From WS‐CDL choreography to BPEL process orchestration.</b:Title>
    <b:Year>2008</b:Year>
    <b:Author>
      <b:Author>
        <b:NameList>
          <b:Person>
            <b:Last>Mendling</b:Last>
            <b:First>Jan</b:First>
          </b:Person>
          <b:Person>
            <b:Last>Michael</b:Last>
            <b:First>Hafner</b:First>
          </b:Person>
        </b:NameList>
      </b:Author>
    </b:Author>
    <b:PeriodicalTitle>Journal of Enterprise Information Management</b:PeriodicalTitle>
    <b:RefOrder>19</b:RefOrder>
  </b:Source>
  <b:Source>
    <b:Tag>Aal21</b:Tag>
    <b:SourceType>BookSection</b:SourceType>
    <b:Guid>{C671AD44-A248-4A2B-927C-DFF67ABD510B}</b:Guid>
    <b:Title>Process Mining and RPA</b:Title>
    <b:Year>2021</b:Year>
    <b:Pages>223-239</b:Pages>
    <b:BookTitle>Robotic Process Automation - Management, Technology, Applications</b:BookTitle>
    <b:City>Berlin</b:City>
    <b:Publisher>De Gruyter</b:Publisher>
    <b:Author>
      <b:Author>
        <b:NameList>
          <b:Person>
            <b:Last>van der Aalst</b:Last>
            <b:First>Wil</b:First>
            <b:Middle>M. P.</b:Middle>
          </b:Person>
        </b:NameList>
      </b:Author>
      <b:BookAuthor>
        <b:NameList>
          <b:Person>
            <b:Last>Czarnecki</b:Last>
            <b:First>Christian</b:First>
          </b:Person>
          <b:Person>
            <b:Last>Fettke</b:Last>
            <b:First>Peter</b:First>
          </b:Person>
        </b:NameList>
      </b:BookAuthor>
    </b:Author>
    <b:RefOrder>20</b:RefOrder>
  </b:Source>
  <b:Source>
    <b:Tag>Fet20</b:Tag>
    <b:SourceType>Book</b:SourceType>
    <b:Guid>{50D9BFBA-8B1A-463F-A190-A55DF2EA1AFB}</b:Guid>
    <b:Author>
      <b:Author>
        <b:NameList>
          <b:Person>
            <b:Last>Fettke</b:Last>
            <b:First>Peter</b:First>
          </b:Person>
          <b:Person>
            <b:Last>Reisig</b:Last>
            <b:First>Wolfgang</b:First>
          </b:Person>
        </b:NameList>
      </b:Author>
    </b:Author>
    <b:Title>Heraklit – die erkenntnistheoretisch motivierte Modellierung rechnerintegrierter Systeme</b:Title>
    <b:Year>2020</b:Year>
    <b:RefOrder>13</b:RefOrder>
  </b:Source>
  <b:Source>
    <b:Tag>Rei13</b:Tag>
    <b:SourceType>Book</b:SourceType>
    <b:Guid>{0EDF714A-4E42-4B20-9DF3-E190D878E1F3}</b:Guid>
    <b:Author>
      <b:Author>
        <b:NameList>
          <b:Person>
            <b:Last>Reisig</b:Last>
            <b:First>Wolfgang</b:First>
          </b:Person>
        </b:NameList>
      </b:Author>
    </b:Author>
    <b:Title>Petri Nets. Modeling Techniques, Analysis Methods, Case Studies</b:Title>
    <b:Year>2013</b:Year>
    <b:City>Berlin Heidelberg</b:City>
    <b:Publisher>Springer</b:Publisher>
    <b:RefOrder>14</b:RefOrder>
  </b:Source>
  <b:Source>
    <b:Tag>Coo19</b:Tag>
    <b:SourceType>ArticleInAPeriodical</b:SourceType>
    <b:Guid>{C9261F0E-A90F-4984-9F15-CF08EA3F6283}</b:Guid>
    <b:Author>
      <b:Author>
        <b:NameList>
          <b:Person>
            <b:Last>Cooper</b:Last>
            <b:Middle>A.</b:Middle>
            <b:First>Lauren</b:First>
          </b:Person>
          <b:Person>
            <b:Last>Holderness</b:Last>
            <b:First>D. Kip</b:First>
          </b:Person>
          <b:Person>
            <b:Last>Sorensen</b:Last>
            <b:Middle>L.</b:Middle>
            <b:First>Trevor</b:First>
          </b:Person>
          <b:Person>
            <b:Last>Wood</b:Last>
            <b:Middle>A.</b:Middle>
            <b:First>David</b:First>
          </b:Person>
        </b:NameList>
      </b:Author>
    </b:Author>
    <b:Title>Robotic Process Automation in Public Accounting</b:Title>
    <b:PeriodicalTitle>Accounting Horizons</b:PeriodicalTitle>
    <b:Year>2019</b:Year>
    <b:Pages>15-35</b:Pages>
    <b:RefOrder>8</b:RefOrder>
  </b:Source>
  <b:Source>
    <b:Tag>Sal20</b:Tag>
    <b:SourceType>ArticleInAPeriodical</b:SourceType>
    <b:Guid>{2C8A895C-A61E-4A94-B600-1C7414506BB6}</b:Guid>
    <b:Title>A road map for tax function automation</b:Title>
    <b:PeriodicalTitle>Tax Adviser</b:PeriodicalTitle>
    <b:Year>2020</b:Year>
    <b:Pages>1-6</b:Pages>
    <b:Author>
      <b:Author>
        <b:NameList>
          <b:Person>
            <b:Last>Sala</b:Last>
            <b:First>Michael</b:First>
          </b:Person>
        </b:NameList>
      </b:Author>
    </b:Author>
    <b:RefOrder>9</b:RefOrder>
  </b:Source>
  <b:Source>
    <b:Tag>Mez19</b:Tag>
    <b:SourceType>ArticleInAPeriodical</b:SourceType>
    <b:Guid>{303216E1-98CF-44FA-9FD0-52EDDC7E7E14}</b:Guid>
    <b:Title>Robotic process automation for tax</b:Title>
    <b:PeriodicalTitle>Journal of Accountancy</b:PeriodicalTitle>
    <b:Year>2019</b:Year>
    <b:Pages>61-63</b:Pages>
    <b:Author>
      <b:Author>
        <b:NameList>
          <b:Person>
            <b:Last>Mezzio</b:Last>
            <b:First>Steven</b:First>
          </b:Person>
          <b:Person>
            <b:Last>Stein</b:Last>
            <b:First>Robin</b:First>
          </b:Person>
          <b:Person>
            <b:Last>Stein</b:Last>
            <b:First>Scott</b:First>
          </b:Person>
        </b:NameList>
      </b:Author>
    </b:Author>
    <b:RefOrder>10</b:RefOrder>
  </b:Source>
  <b:Source>
    <b:Tag>Czarnecki21</b:Tag>
    <b:SourceType>BookSection</b:SourceType>
    <b:Guid>{324B8A51-3C8B-4528-9106-D76C794FC665}</b:Guid>
    <b:Author>
      <b:Author>
        <b:NameList>
          <b:Person>
            <b:Last>Czarnecki</b:Last>
            <b:First>Christian</b:First>
          </b:Person>
          <b:Person>
            <b:Last>Fettke</b:Last>
            <b:First>Peter</b:First>
          </b:Person>
        </b:NameList>
      </b:Author>
      <b:BookAuthor>
        <b:NameList>
          <b:Person>
            <b:Last>Czarnecki</b:Last>
            <b:First>Christian</b:First>
          </b:Person>
          <b:Person>
            <b:Last>Fettke</b:Last>
            <b:First>Peter</b:First>
          </b:Person>
        </b:NameList>
      </b:BookAuthor>
    </b:Author>
    <b:Title>Robotic Process Automation. Positioning, Structuring, and Framing the Work</b:Title>
    <b:Year>2021</b:Year>
    <b:Publisher>De Gruyter</b:Publisher>
    <b:BookTitle>Robotic Process Automation. Management, Technology, Applications</b:BookTitle>
    <b:Pages>3-24</b:Pages>
    <b:RefOrder>7</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5089F1-0D3C-4CD7-99D3-DB7A2B162A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38685b-7c4c-4d0a-81d5-a46e29404424"/>
    <ds:schemaRef ds:uri="9239a1a8-4d17-4459-b090-7bfed459b7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CF9D77-10E3-46F5-8201-3F157A6F22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7856543-606F-47CF-82CE-610FD09930FA}">
  <ds:schemaRefs>
    <ds:schemaRef ds:uri="http://schemas.openxmlformats.org/officeDocument/2006/bibliography"/>
  </ds:schemaRefs>
</ds:datastoreItem>
</file>

<file path=customXml/itemProps4.xml><?xml version="1.0" encoding="utf-8"?>
<ds:datastoreItem xmlns:ds="http://schemas.openxmlformats.org/officeDocument/2006/customXml" ds:itemID="{1C1DCD20-B644-4019-AB5F-2AD8CE27E6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T1-book.dot</Template>
  <TotalTime>0</TotalTime>
  <Pages>25</Pages>
  <Words>5294</Words>
  <Characters>33353</Characters>
  <Application>Microsoft Office Word</Application>
  <DocSecurity>0</DocSecurity>
  <Lines>277</Lines>
  <Paragraphs>77</Paragraphs>
  <ScaleCrop>false</ScaleCrop>
  <HeadingPairs>
    <vt:vector size="2" baseType="variant">
      <vt:variant>
        <vt:lpstr>Titel</vt:lpstr>
      </vt:variant>
      <vt:variant>
        <vt:i4>1</vt:i4>
      </vt:variant>
    </vt:vector>
  </HeadingPairs>
  <TitlesOfParts>
    <vt:vector size="1" baseType="lpstr">
      <vt:lpstr/>
    </vt:vector>
  </TitlesOfParts>
  <Company>BertelsmannSpringer</Company>
  <LinksUpToDate>false</LinksUpToDate>
  <CharactersWithSpaces>38570</CharactersWithSpaces>
  <SharedDoc>false</SharedDoc>
  <HLinks>
    <vt:vector size="6" baseType="variant">
      <vt:variant>
        <vt:i4>4063250</vt:i4>
      </vt:variant>
      <vt:variant>
        <vt:i4>0</vt:i4>
      </vt:variant>
      <vt:variant>
        <vt:i4>0</vt:i4>
      </vt:variant>
      <vt:variant>
        <vt:i4>5</vt:i4>
      </vt:variant>
      <vt:variant>
        <vt:lpwstr>https://evatr.bff-online.de/eVatR/index_html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Benke</dc:creator>
  <cp:keywords/>
  <dc:description/>
  <cp:lastModifiedBy>Dominic Neu</cp:lastModifiedBy>
  <cp:revision>23</cp:revision>
  <cp:lastPrinted>2021-10-15T16:44:00Z</cp:lastPrinted>
  <dcterms:created xsi:type="dcterms:W3CDTF">2021-10-15T16:33:00Z</dcterms:created>
  <dcterms:modified xsi:type="dcterms:W3CDTF">2021-10-15T18:15:00Z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0x010100454BD5DEE3D6384FB1FA396547C001FD</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http://www.zotero.org/styles/mis-quarterly</vt:lpwstr>
  </property>
  <property fmtid="{D5CDD505-2E9C-101B-9397-08002B2CF9AE}" pid="18" name="Mendeley Recent Style Name 7_1">
    <vt:lpwstr>MIS Quarterly</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8th edition</vt:lpwstr>
  </property>
  <property fmtid="{D5CDD505-2E9C-101B-9397-08002B2CF9AE}" pid="23" name="Mendeley Document_1">
    <vt:lpwstr>True</vt:lpwstr>
  </property>
  <property fmtid="{D5CDD505-2E9C-101B-9397-08002B2CF9AE}" pid="24" name="Mendeley Unique User Id_1">
    <vt:lpwstr>b66c4e6b-26c2-3eec-8333-85b7735b29db</vt:lpwstr>
  </property>
  <property fmtid="{D5CDD505-2E9C-101B-9397-08002B2CF9AE}" pid="25" name="Mendeley Citation Style_1">
    <vt:lpwstr>http://www.zotero.org/styles/mis-quarterly</vt:lpwstr>
  </property>
</Properties>
</file>